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sz w:val="84"/>
          <w:szCs w:val="84"/>
          <w:u w:val="singl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sz w:val="84"/>
          <w:szCs w:val="84"/>
          <w:u w:val="singl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sz w:val="84"/>
          <w:szCs w:val="84"/>
          <w:u w:val="singl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sz w:val="84"/>
          <w:szCs w:val="8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52"/>
          <w:szCs w:val="52"/>
        </w:rPr>
      </w:pPr>
      <w:r>
        <w:rPr>
          <w:rFonts w:ascii="仿宋" w:hAnsi="仿宋" w:eastAsia="仿宋" w:cs="仿宋"/>
          <w:sz w:val="52"/>
          <w:szCs w:val="52"/>
        </w:rPr>
        <w:t>2023</w:t>
      </w:r>
      <w:r>
        <w:rPr>
          <w:rFonts w:hint="eastAsia" w:ascii="仿宋" w:hAnsi="仿宋" w:eastAsia="仿宋" w:cs="仿宋"/>
          <w:sz w:val="52"/>
          <w:szCs w:val="52"/>
        </w:rPr>
        <w:t>年海口市农业技术推广中心预算</w:t>
      </w: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ind w:firstLine="1680"/>
        <w:jc w:val="center"/>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sz w:val="84"/>
          <w:szCs w:val="8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sz w:val="52"/>
          <w:szCs w:val="52"/>
        </w:rPr>
      </w:pPr>
      <w:r>
        <w:rPr>
          <w:rFonts w:hint="eastAsia" w:ascii="黑体" w:hAnsi="黑体" w:eastAsia="黑体"/>
          <w:sz w:val="52"/>
          <w:szCs w:val="52"/>
        </w:rPr>
        <w:t>目录</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jc w:val="left"/>
        <w:textAlignment w:val="auto"/>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海口市农业技术推广中心概况</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Chars="0"/>
        <w:jc w:val="left"/>
        <w:textAlignment w:val="auto"/>
        <w:rPr>
          <w:rFonts w:ascii="黑体" w:hAnsi="黑体" w:eastAsia="黑体"/>
          <w:sz w:val="32"/>
          <w:szCs w:val="32"/>
        </w:rPr>
      </w:pPr>
      <w:r>
        <w:rPr>
          <w:rFonts w:hint="eastAsia" w:ascii="黑体" w:hAnsi="黑体" w:eastAsia="黑体"/>
          <w:sz w:val="32"/>
          <w:szCs w:val="32"/>
        </w:rPr>
        <w:t>主要职能</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Chars="0"/>
        <w:jc w:val="left"/>
        <w:textAlignment w:val="auto"/>
        <w:rPr>
          <w:rFonts w:ascii="黑体" w:hAnsi="黑体" w:eastAsia="黑体"/>
          <w:sz w:val="32"/>
          <w:szCs w:val="32"/>
        </w:rPr>
      </w:pPr>
      <w:r>
        <w:rPr>
          <w:rFonts w:hint="eastAsia" w:ascii="黑体" w:hAnsi="黑体" w:eastAsia="黑体"/>
          <w:sz w:val="32"/>
          <w:szCs w:val="32"/>
        </w:rPr>
        <w:t>部门预算单位构成（单位公开没有这部分内容）</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jc w:val="left"/>
        <w:textAlignment w:val="auto"/>
        <w:rPr>
          <w:rFonts w:hint="eastAsia" w:ascii="黑体" w:hAnsi="黑体" w:eastAsia="黑体"/>
          <w:sz w:val="32"/>
          <w:szCs w:val="32"/>
        </w:rPr>
      </w:pPr>
      <w:r>
        <w:rPr>
          <w:rFonts w:hint="eastAsia" w:ascii="黑体" w:hAnsi="黑体" w:eastAsia="黑体"/>
          <w:sz w:val="32"/>
          <w:szCs w:val="32"/>
        </w:rPr>
        <w:t>海口市农业技术推广中心2023年预算表</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jc w:val="left"/>
        <w:textAlignment w:val="auto"/>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海口市农业技术推广中心2023年预算情况说明 </w:t>
      </w:r>
      <w:r>
        <w:rPr>
          <w:rFonts w:ascii="黑体" w:hAnsi="黑体" w:eastAsia="黑体"/>
          <w:sz w:val="32"/>
          <w:szCs w:val="32"/>
        </w:rPr>
        <w:t xml:space="preserve"> </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Chars="0"/>
        <w:jc w:val="left"/>
        <w:textAlignment w:val="auto"/>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8"/>
        <w:keepNext w:val="0"/>
        <w:keepLines w:val="0"/>
        <w:pageBreakBefore w:val="0"/>
        <w:widowControl w:val="0"/>
        <w:kinsoku/>
        <w:wordWrap/>
        <w:overflowPunct/>
        <w:topLinePunct w:val="0"/>
        <w:autoSpaceDE/>
        <w:autoSpaceDN/>
        <w:bidi w:val="0"/>
        <w:adjustRightInd/>
        <w:snapToGrid/>
        <w:spacing w:line="600" w:lineRule="exact"/>
        <w:ind w:left="1320" w:firstLine="0" w:firstLineChars="0"/>
        <w:jc w:val="lef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hAnsi="黑体" w:eastAsia="黑体"/>
          <w:sz w:val="32"/>
          <w:szCs w:val="32"/>
        </w:rPr>
      </w:pPr>
    </w:p>
    <w:p>
      <w:pPr>
        <w:pStyle w:val="8"/>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Chars="0"/>
        <w:jc w:val="center"/>
        <w:textAlignment w:val="auto"/>
        <w:rPr>
          <w:rFonts w:ascii="仿宋_GB2312" w:hAnsi="仿宋_GB2312" w:eastAsia="仿宋_GB2312" w:cs="仿宋_GB2312"/>
          <w:sz w:val="32"/>
          <w:szCs w:val="32"/>
        </w:rPr>
      </w:pPr>
      <w:r>
        <w:rPr>
          <w:rFonts w:hint="eastAsia" w:ascii="黑体" w:hAnsi="黑体" w:eastAsia="黑体" w:cs="仿宋_GB2312"/>
          <w:sz w:val="32"/>
          <w:szCs w:val="32"/>
        </w:rPr>
        <w:t>海口市农业技术推广中心概况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_GB2312" w:hAnsi="仿宋_GB2312" w:eastAsia="仿宋_GB2312" w:cs="仿宋_GB2312"/>
          <w:sz w:val="32"/>
          <w:szCs w:val="32"/>
        </w:rPr>
      </w:pPr>
    </w:p>
    <w:p>
      <w:pPr>
        <w:pStyle w:val="8"/>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Chars="0"/>
        <w:jc w:val="left"/>
        <w:textAlignment w:val="auto"/>
        <w:rPr>
          <w:rFonts w:ascii="黑体" w:hAnsi="黑体" w:eastAsia="黑体" w:cs="仿宋_GB2312"/>
          <w:sz w:val="32"/>
          <w:szCs w:val="32"/>
        </w:rPr>
      </w:pPr>
      <w:r>
        <w:rPr>
          <w:rFonts w:hint="eastAsia" w:ascii="黑体" w:hAnsi="黑体" w:eastAsia="黑体" w:cs="仿宋_GB2312"/>
          <w:sz w:val="32"/>
          <w:szCs w:val="32"/>
        </w:rPr>
        <w:t>主要职能</w:t>
      </w:r>
    </w:p>
    <w:p>
      <w:pPr>
        <w:pStyle w:val="3"/>
        <w:keepNext w:val="0"/>
        <w:keepLines w:val="0"/>
        <w:pageBreakBefore w:val="0"/>
        <w:widowControl w:val="0"/>
        <w:kinsoku/>
        <w:wordWrap/>
        <w:overflowPunct/>
        <w:topLinePunct w:val="0"/>
        <w:autoSpaceDE/>
        <w:autoSpaceDN/>
        <w:bidi w:val="0"/>
        <w:adjustRightInd/>
        <w:snapToGrid/>
        <w:spacing w:before="151" w:line="600" w:lineRule="exact"/>
        <w:ind w:left="107" w:right="214" w:firstLine="639"/>
        <w:textAlignment w:val="auto"/>
        <w:rPr>
          <w:rFonts w:hint="eastAsia"/>
          <w:spacing w:val="-1"/>
        </w:rPr>
      </w:pPr>
      <w:r>
        <w:rPr>
          <w:rFonts w:hint="eastAsia"/>
          <w:spacing w:val="-1"/>
        </w:rPr>
        <w:t>根据《海口市机构编制委员会文件关于印发〈海口市农业技术推广中心(海口市农业科学研究院、海口市热带作物服务中心）机构编制方案〉的通知》（海编〔2015〕36号），制定本规定。海口市农业技术推广中心(海口市农业科学研究院、海口市热带作物服务中心）为副处级公益一类事业单位，隶属海口市农业局。</w:t>
      </w:r>
    </w:p>
    <w:p>
      <w:pPr>
        <w:pStyle w:val="3"/>
        <w:keepNext w:val="0"/>
        <w:keepLines w:val="0"/>
        <w:pageBreakBefore w:val="0"/>
        <w:widowControl w:val="0"/>
        <w:kinsoku/>
        <w:wordWrap/>
        <w:overflowPunct/>
        <w:topLinePunct w:val="0"/>
        <w:autoSpaceDE/>
        <w:autoSpaceDN/>
        <w:bidi w:val="0"/>
        <w:adjustRightInd/>
        <w:snapToGrid/>
        <w:spacing w:before="151" w:line="600" w:lineRule="exact"/>
        <w:ind w:left="107" w:right="214" w:firstLine="639"/>
        <w:textAlignment w:val="auto"/>
        <w:rPr>
          <w:rFonts w:hint="eastAsia"/>
          <w:spacing w:val="-1"/>
        </w:rPr>
      </w:pPr>
      <w:r>
        <w:rPr>
          <w:rFonts w:hint="eastAsia"/>
          <w:spacing w:val="-1"/>
        </w:rPr>
        <w:t>工作职责</w:t>
      </w:r>
    </w:p>
    <w:p>
      <w:pPr>
        <w:pStyle w:val="3"/>
        <w:keepNext w:val="0"/>
        <w:keepLines w:val="0"/>
        <w:pageBreakBefore w:val="0"/>
        <w:widowControl w:val="0"/>
        <w:kinsoku/>
        <w:wordWrap/>
        <w:overflowPunct/>
        <w:topLinePunct w:val="0"/>
        <w:autoSpaceDE/>
        <w:autoSpaceDN/>
        <w:bidi w:val="0"/>
        <w:adjustRightInd/>
        <w:snapToGrid/>
        <w:spacing w:before="151" w:line="600" w:lineRule="exact"/>
        <w:ind w:left="107" w:right="214" w:firstLine="639"/>
        <w:textAlignment w:val="auto"/>
        <w:rPr>
          <w:rFonts w:hint="eastAsia"/>
          <w:spacing w:val="-1"/>
        </w:rPr>
      </w:pPr>
      <w:r>
        <w:rPr>
          <w:rFonts w:hint="eastAsia"/>
          <w:spacing w:val="-1"/>
        </w:rPr>
        <w:t xml:space="preserve">（一）贯彻执行党和国家有关农业和农村经济发展的方针政策、法律法规规章；拟定并组织实施全市农业技术推广规 </w:t>
      </w:r>
      <w:r>
        <w:rPr>
          <w:rFonts w:hint="eastAsia"/>
          <w:spacing w:val="-1"/>
        </w:rPr>
        <w:t>划、计划。</w:t>
      </w:r>
    </w:p>
    <w:p>
      <w:pPr>
        <w:pStyle w:val="3"/>
        <w:keepNext w:val="0"/>
        <w:keepLines w:val="0"/>
        <w:pageBreakBefore w:val="0"/>
        <w:widowControl w:val="0"/>
        <w:kinsoku/>
        <w:wordWrap/>
        <w:overflowPunct/>
        <w:topLinePunct w:val="0"/>
        <w:autoSpaceDE/>
        <w:autoSpaceDN/>
        <w:bidi w:val="0"/>
        <w:adjustRightInd/>
        <w:snapToGrid/>
        <w:spacing w:before="151" w:line="600" w:lineRule="exact"/>
        <w:ind w:left="107" w:right="214" w:firstLine="639"/>
        <w:textAlignment w:val="auto"/>
      </w:pPr>
      <w:r>
        <w:rPr>
          <w:rFonts w:hint="eastAsia"/>
          <w:spacing w:val="-1"/>
        </w:rPr>
        <w:t>（二）负责全市农技</w:t>
      </w:r>
      <w:r>
        <w:rPr>
          <w:rFonts w:hint="eastAsia"/>
        </w:rPr>
        <w:t>推广体系建设，承担全市农业新技</w:t>
      </w:r>
      <w:r>
        <w:t xml:space="preserve"> </w:t>
      </w:r>
      <w:r>
        <w:rPr>
          <w:rFonts w:hint="eastAsia"/>
          <w:spacing w:val="-1"/>
        </w:rPr>
        <w:t>术、新品种和新成果的引进、试验、示范、推广工作；负责全市农业科技信息的收集、整理、储存和传递。</w:t>
      </w:r>
    </w:p>
    <w:p>
      <w:pPr>
        <w:pStyle w:val="3"/>
        <w:keepNext w:val="0"/>
        <w:keepLines w:val="0"/>
        <w:pageBreakBefore w:val="0"/>
        <w:widowControl w:val="0"/>
        <w:kinsoku/>
        <w:wordWrap/>
        <w:overflowPunct/>
        <w:topLinePunct w:val="0"/>
        <w:autoSpaceDE/>
        <w:autoSpaceDN/>
        <w:bidi w:val="0"/>
        <w:adjustRightInd/>
        <w:snapToGrid/>
        <w:spacing w:line="600" w:lineRule="exact"/>
        <w:ind w:left="107" w:right="213" w:firstLine="639"/>
        <w:textAlignment w:val="auto"/>
      </w:pPr>
      <w:r>
        <w:rPr>
          <w:rFonts w:hint="eastAsia"/>
        </w:rPr>
        <w:t>（三）负责全市农作物种植管理技术、病虫草鼠害的监</w:t>
      </w:r>
      <w:r>
        <w:t xml:space="preserve"> </w:t>
      </w:r>
      <w:r>
        <w:rPr>
          <w:rFonts w:hint="eastAsia"/>
          <w:spacing w:val="-1"/>
        </w:rPr>
        <w:t>测、预报预警、信息发布、防治指导等工作；指导全市热带作物的生产及加工。</w:t>
      </w:r>
    </w:p>
    <w:p>
      <w:pPr>
        <w:pStyle w:val="3"/>
        <w:keepNext w:val="0"/>
        <w:keepLines w:val="0"/>
        <w:pageBreakBefore w:val="0"/>
        <w:widowControl w:val="0"/>
        <w:kinsoku/>
        <w:wordWrap/>
        <w:overflowPunct/>
        <w:topLinePunct w:val="0"/>
        <w:autoSpaceDE/>
        <w:autoSpaceDN/>
        <w:bidi w:val="0"/>
        <w:adjustRightInd/>
        <w:snapToGrid/>
        <w:spacing w:before="55" w:line="600" w:lineRule="exact"/>
        <w:ind w:left="107" w:right="213"/>
        <w:textAlignment w:val="auto"/>
      </w:pPr>
      <w:r>
        <w:rPr>
          <w:rFonts w:hint="eastAsia"/>
        </w:rPr>
        <w:t>（四）负责全市农作物种子生产管理，负责全市农作物种子质量监督检验工作；承担全市耕地质量管理和土壤养分检测工作；组织实施生态农业和能源综合建设试点及技术推广；负责种子、土肥技术指导工作。</w:t>
      </w:r>
    </w:p>
    <w:p>
      <w:pPr>
        <w:pStyle w:val="3"/>
        <w:keepNext w:val="0"/>
        <w:keepLines w:val="0"/>
        <w:pageBreakBefore w:val="0"/>
        <w:widowControl w:val="0"/>
        <w:kinsoku/>
        <w:wordWrap/>
        <w:overflowPunct/>
        <w:topLinePunct w:val="0"/>
        <w:autoSpaceDE/>
        <w:autoSpaceDN/>
        <w:bidi w:val="0"/>
        <w:adjustRightInd/>
        <w:snapToGrid/>
        <w:spacing w:line="600" w:lineRule="exact"/>
        <w:ind w:left="107" w:right="213" w:firstLine="639"/>
        <w:textAlignment w:val="auto"/>
      </w:pPr>
      <w:r>
        <w:rPr>
          <w:rFonts w:hint="eastAsia"/>
        </w:rPr>
        <w:t>（五）承担畜禽遗传资源的保护与开发利用工作，组织实施相关品种的初审、登记、引进、繁育、推广工作；承担牧草资源保护与开发管理工作；承担畜牧养殖环境监测与监督管理工作；指导全市畜产品加工工作。</w:t>
      </w:r>
    </w:p>
    <w:p>
      <w:pPr>
        <w:pStyle w:val="3"/>
        <w:keepNext w:val="0"/>
        <w:keepLines w:val="0"/>
        <w:pageBreakBefore w:val="0"/>
        <w:widowControl w:val="0"/>
        <w:kinsoku/>
        <w:wordWrap/>
        <w:overflowPunct/>
        <w:topLinePunct w:val="0"/>
        <w:autoSpaceDE/>
        <w:autoSpaceDN/>
        <w:bidi w:val="0"/>
        <w:adjustRightInd/>
        <w:snapToGrid/>
        <w:spacing w:line="600" w:lineRule="exact"/>
        <w:ind w:left="747"/>
        <w:textAlignment w:val="auto"/>
      </w:pPr>
      <w:r>
        <w:rPr>
          <w:rFonts w:hint="eastAsia"/>
        </w:rPr>
        <w:t>（六）承办上级主管部门交办的其他工作。</w:t>
      </w:r>
    </w:p>
    <w:p>
      <w:pPr>
        <w:pStyle w:val="3"/>
        <w:keepNext w:val="0"/>
        <w:keepLines w:val="0"/>
        <w:pageBreakBefore w:val="0"/>
        <w:widowControl w:val="0"/>
        <w:kinsoku/>
        <w:wordWrap/>
        <w:overflowPunct/>
        <w:topLinePunct w:val="0"/>
        <w:autoSpaceDE/>
        <w:autoSpaceDN/>
        <w:bidi w:val="0"/>
        <w:adjustRightInd/>
        <w:snapToGrid/>
        <w:spacing w:before="78" w:line="600" w:lineRule="exact"/>
        <w:ind w:left="107" w:right="213" w:firstLine="639"/>
        <w:textAlignment w:val="auto"/>
        <w:rPr>
          <w:rFonts w:ascii="黑体" w:eastAsia="黑体"/>
        </w:rPr>
      </w:pPr>
      <w:r>
        <w:rPr>
          <w:rFonts w:ascii="黑体" w:eastAsia="黑体"/>
          <w:lang w:val="en-US"/>
        </w:rPr>
        <w:t>3</w:t>
      </w:r>
      <w:r>
        <w:rPr>
          <w:rFonts w:hint="eastAsia" w:ascii="黑体" w:eastAsia="黑体"/>
        </w:rPr>
        <w:t>、人员编制和经费渠道</w:t>
      </w:r>
    </w:p>
    <w:p>
      <w:pPr>
        <w:pStyle w:val="3"/>
        <w:keepNext w:val="0"/>
        <w:keepLines w:val="0"/>
        <w:pageBreakBefore w:val="0"/>
        <w:widowControl w:val="0"/>
        <w:kinsoku/>
        <w:wordWrap/>
        <w:overflowPunct/>
        <w:topLinePunct w:val="0"/>
        <w:autoSpaceDE/>
        <w:autoSpaceDN/>
        <w:bidi w:val="0"/>
        <w:adjustRightInd/>
        <w:snapToGrid/>
        <w:spacing w:before="150" w:line="600" w:lineRule="exact"/>
        <w:ind w:left="107" w:right="214" w:firstLine="639"/>
        <w:textAlignment w:val="auto"/>
        <w:rPr>
          <w:rFonts w:ascii="Arial" w:eastAsia="Times New Roman"/>
        </w:rPr>
      </w:pPr>
      <w:r>
        <w:rPr>
          <w:rFonts w:hint="eastAsia"/>
        </w:rPr>
        <w:t>（一）核定海口市农业技术推广中心（海口市农业科学研究所、海口市热带作物服务中心）财政预算管理事业编制</w:t>
      </w:r>
      <w:r>
        <w:t xml:space="preserve"> </w:t>
      </w:r>
      <w:r>
        <w:rPr>
          <w:rFonts w:ascii="Arial" w:eastAsia="Times New Roman"/>
        </w:rPr>
        <w:t>33</w:t>
      </w:r>
    </w:p>
    <w:p>
      <w:pPr>
        <w:pStyle w:val="3"/>
        <w:keepNext w:val="0"/>
        <w:keepLines w:val="0"/>
        <w:pageBreakBefore w:val="0"/>
        <w:widowControl w:val="0"/>
        <w:kinsoku/>
        <w:wordWrap/>
        <w:overflowPunct/>
        <w:topLinePunct w:val="0"/>
        <w:autoSpaceDE/>
        <w:autoSpaceDN/>
        <w:bidi w:val="0"/>
        <w:adjustRightInd/>
        <w:snapToGrid/>
        <w:spacing w:line="600" w:lineRule="exact"/>
        <w:ind w:left="107"/>
        <w:textAlignment w:val="auto"/>
      </w:pPr>
      <w:r>
        <w:rPr>
          <w:rFonts w:hint="eastAsia"/>
          <w:spacing w:val="-12"/>
        </w:rPr>
        <w:t>名。其中领导</w:t>
      </w:r>
      <w:r>
        <w:rPr>
          <w:spacing w:val="-12"/>
        </w:rPr>
        <w:t xml:space="preserve"> </w:t>
      </w:r>
      <w:r>
        <w:rPr>
          <w:rFonts w:ascii="Arial" w:eastAsia="Times New Roman"/>
        </w:rPr>
        <w:t xml:space="preserve">3 </w:t>
      </w:r>
      <w:r>
        <w:rPr>
          <w:rFonts w:hint="eastAsia"/>
          <w:spacing w:val="-14"/>
        </w:rPr>
        <w:t>名，办公室</w:t>
      </w:r>
      <w:r>
        <w:rPr>
          <w:spacing w:val="-14"/>
        </w:rPr>
        <w:t xml:space="preserve"> </w:t>
      </w:r>
      <w:r>
        <w:rPr>
          <w:rFonts w:ascii="Arial" w:eastAsia="Times New Roman"/>
        </w:rPr>
        <w:t xml:space="preserve">6 </w:t>
      </w:r>
      <w:r>
        <w:rPr>
          <w:rFonts w:hint="eastAsia"/>
          <w:spacing w:val="-11"/>
        </w:rPr>
        <w:t>名，植物保护科</w:t>
      </w:r>
      <w:r>
        <w:rPr>
          <w:spacing w:val="-11"/>
        </w:rPr>
        <w:t xml:space="preserve"> </w:t>
      </w:r>
      <w:r>
        <w:rPr>
          <w:rFonts w:ascii="Arial" w:eastAsia="Times New Roman"/>
        </w:rPr>
        <w:t xml:space="preserve">4 </w:t>
      </w:r>
      <w:r>
        <w:rPr>
          <w:rFonts w:hint="eastAsia"/>
        </w:rPr>
        <w:t>名，种子土肥</w:t>
      </w:r>
    </w:p>
    <w:p>
      <w:pPr>
        <w:pStyle w:val="3"/>
        <w:keepNext w:val="0"/>
        <w:keepLines w:val="0"/>
        <w:pageBreakBefore w:val="0"/>
        <w:widowControl w:val="0"/>
        <w:kinsoku/>
        <w:wordWrap/>
        <w:overflowPunct/>
        <w:topLinePunct w:val="0"/>
        <w:autoSpaceDE/>
        <w:autoSpaceDN/>
        <w:bidi w:val="0"/>
        <w:adjustRightInd/>
        <w:snapToGrid/>
        <w:spacing w:before="151" w:line="600" w:lineRule="exact"/>
        <w:ind w:left="107"/>
        <w:textAlignment w:val="auto"/>
        <w:rPr>
          <w:rFonts w:ascii="Arial" w:eastAsia="Times New Roman"/>
        </w:rPr>
      </w:pPr>
      <w:r>
        <w:rPr>
          <w:rFonts w:hint="eastAsia"/>
        </w:rPr>
        <w:t>管理科</w:t>
      </w:r>
      <w:r>
        <w:t xml:space="preserve"> </w:t>
      </w:r>
      <w:r>
        <w:rPr>
          <w:rFonts w:ascii="Arial" w:eastAsia="Times New Roman"/>
        </w:rPr>
        <w:t xml:space="preserve">5 </w:t>
      </w:r>
      <w:r>
        <w:rPr>
          <w:rFonts w:hint="eastAsia"/>
        </w:rPr>
        <w:t>名，农业技术推广科</w:t>
      </w:r>
      <w:r>
        <w:t xml:space="preserve"> </w:t>
      </w:r>
      <w:r>
        <w:rPr>
          <w:rFonts w:ascii="Arial" w:eastAsia="Times New Roman"/>
        </w:rPr>
        <w:t xml:space="preserve">5 </w:t>
      </w:r>
      <w:r>
        <w:rPr>
          <w:rFonts w:hint="eastAsia"/>
        </w:rPr>
        <w:t>名，农村环保能源管理科</w:t>
      </w:r>
      <w:r>
        <w:t xml:space="preserve"> </w:t>
      </w:r>
      <w:r>
        <w:rPr>
          <w:rFonts w:ascii="Arial" w:eastAsia="Times New Roman"/>
        </w:rPr>
        <w:t>4</w:t>
      </w:r>
    </w:p>
    <w:p>
      <w:pPr>
        <w:pStyle w:val="3"/>
        <w:keepNext w:val="0"/>
        <w:keepLines w:val="0"/>
        <w:pageBreakBefore w:val="0"/>
        <w:widowControl w:val="0"/>
        <w:kinsoku/>
        <w:wordWrap/>
        <w:overflowPunct/>
        <w:topLinePunct w:val="0"/>
        <w:autoSpaceDE/>
        <w:autoSpaceDN/>
        <w:bidi w:val="0"/>
        <w:adjustRightInd/>
        <w:snapToGrid/>
        <w:spacing w:before="150" w:line="600" w:lineRule="exact"/>
        <w:ind w:left="107"/>
        <w:textAlignment w:val="auto"/>
      </w:pPr>
      <w:r>
        <w:rPr>
          <w:rFonts w:hint="eastAsia"/>
          <w:spacing w:val="-9"/>
        </w:rPr>
        <w:t>名，农业科学研究科</w:t>
      </w:r>
      <w:r>
        <w:rPr>
          <w:spacing w:val="-9"/>
        </w:rPr>
        <w:t xml:space="preserve"> </w:t>
      </w:r>
      <w:r>
        <w:rPr>
          <w:rFonts w:ascii="Arial" w:eastAsia="Times New Roman"/>
        </w:rPr>
        <w:t>6</w:t>
      </w:r>
      <w:r>
        <w:rPr>
          <w:rFonts w:ascii="Arial" w:eastAsia="Times New Roman"/>
          <w:spacing w:val="-12"/>
        </w:rPr>
        <w:t xml:space="preserve"> </w:t>
      </w:r>
      <w:r>
        <w:rPr>
          <w:rFonts w:hint="eastAsia"/>
        </w:rPr>
        <w:t>名。</w:t>
      </w:r>
    </w:p>
    <w:p>
      <w:pPr>
        <w:pStyle w:val="3"/>
        <w:keepNext w:val="0"/>
        <w:keepLines w:val="0"/>
        <w:pageBreakBefore w:val="0"/>
        <w:widowControl w:val="0"/>
        <w:kinsoku/>
        <w:wordWrap/>
        <w:overflowPunct/>
        <w:topLinePunct w:val="0"/>
        <w:autoSpaceDE/>
        <w:autoSpaceDN/>
        <w:bidi w:val="0"/>
        <w:adjustRightInd/>
        <w:snapToGrid/>
        <w:spacing w:before="149" w:line="600" w:lineRule="exact"/>
        <w:ind w:left="747"/>
        <w:textAlignment w:val="auto"/>
      </w:pPr>
      <w:r>
        <w:rPr>
          <w:rFonts w:hint="eastAsia"/>
          <w:spacing w:val="-1"/>
        </w:rPr>
        <w:t>（二）核定编制结构：</w:t>
      </w:r>
    </w:p>
    <w:p>
      <w:pPr>
        <w:pStyle w:val="3"/>
        <w:keepNext w:val="0"/>
        <w:keepLines w:val="0"/>
        <w:pageBreakBefore w:val="0"/>
        <w:widowControl w:val="0"/>
        <w:kinsoku/>
        <w:wordWrap/>
        <w:overflowPunct/>
        <w:topLinePunct w:val="0"/>
        <w:autoSpaceDE/>
        <w:autoSpaceDN/>
        <w:bidi w:val="0"/>
        <w:adjustRightInd/>
        <w:snapToGrid/>
        <w:spacing w:before="151" w:line="600" w:lineRule="exact"/>
        <w:ind w:left="747"/>
        <w:textAlignment w:val="auto"/>
      </w:pPr>
      <w:r>
        <w:rPr>
          <w:rFonts w:ascii="Arial" w:eastAsia="Times New Roman"/>
        </w:rPr>
        <w:t>1</w:t>
      </w:r>
      <w:r>
        <w:rPr>
          <w:rFonts w:hint="eastAsia"/>
        </w:rPr>
        <w:t>、单位领导岗位</w:t>
      </w:r>
      <w:r>
        <w:t xml:space="preserve"> </w:t>
      </w:r>
      <w:r>
        <w:rPr>
          <w:rFonts w:ascii="Arial" w:eastAsia="Times New Roman"/>
        </w:rPr>
        <w:t xml:space="preserve">3 </w:t>
      </w:r>
      <w:r>
        <w:rPr>
          <w:rFonts w:hint="eastAsia"/>
        </w:rPr>
        <w:t>个。其中：主任</w:t>
      </w:r>
      <w:r>
        <w:t xml:space="preserve"> </w:t>
      </w:r>
      <w:r>
        <w:rPr>
          <w:rFonts w:ascii="Arial" w:eastAsia="Times New Roman"/>
        </w:rPr>
        <w:t xml:space="preserve">1 </w:t>
      </w:r>
      <w:r>
        <w:rPr>
          <w:rFonts w:hint="eastAsia"/>
        </w:rPr>
        <w:t>名，副主任</w:t>
      </w:r>
      <w:r>
        <w:t xml:space="preserve"> </w:t>
      </w:r>
      <w:r>
        <w:rPr>
          <w:rFonts w:ascii="Arial" w:eastAsia="Times New Roman"/>
        </w:rPr>
        <w:t xml:space="preserve">2 </w:t>
      </w:r>
      <w:r>
        <w:rPr>
          <w:rFonts w:hint="eastAsia"/>
        </w:rPr>
        <w:t>名。</w:t>
      </w:r>
    </w:p>
    <w:p>
      <w:pPr>
        <w:pStyle w:val="3"/>
        <w:keepNext w:val="0"/>
        <w:keepLines w:val="0"/>
        <w:pageBreakBefore w:val="0"/>
        <w:widowControl w:val="0"/>
        <w:kinsoku/>
        <w:wordWrap/>
        <w:overflowPunct/>
        <w:topLinePunct w:val="0"/>
        <w:autoSpaceDE/>
        <w:autoSpaceDN/>
        <w:bidi w:val="0"/>
        <w:adjustRightInd/>
        <w:snapToGrid/>
        <w:spacing w:before="150" w:line="600" w:lineRule="exact"/>
        <w:ind w:left="107" w:right="160" w:firstLine="639"/>
        <w:textAlignment w:val="auto"/>
      </w:pPr>
      <w:r>
        <w:rPr>
          <w:rFonts w:ascii="Arial" w:eastAsia="Times New Roman"/>
        </w:rPr>
        <w:t>2</w:t>
      </w:r>
      <w:r>
        <w:rPr>
          <w:rFonts w:hint="eastAsia"/>
          <w:spacing w:val="-8"/>
        </w:rPr>
        <w:t>、内设机构科级领导岗位</w:t>
      </w:r>
      <w:r>
        <w:rPr>
          <w:spacing w:val="-8"/>
        </w:rPr>
        <w:t xml:space="preserve"> </w:t>
      </w:r>
      <w:r>
        <w:rPr>
          <w:rFonts w:ascii="Arial" w:eastAsia="Times New Roman"/>
        </w:rPr>
        <w:t xml:space="preserve">12 </w:t>
      </w:r>
      <w:r>
        <w:rPr>
          <w:rFonts w:hint="eastAsia"/>
        </w:rPr>
        <w:t>个。其中：办公室、植物保护科、种子土肥管理科、农业技术推广科、农村环保能源管理</w:t>
      </w:r>
      <w:r>
        <w:rPr>
          <w:rFonts w:hint="eastAsia"/>
          <w:spacing w:val="-8"/>
        </w:rPr>
        <w:t>科、农业科学研究科各</w:t>
      </w:r>
      <w:r>
        <w:rPr>
          <w:spacing w:val="-8"/>
        </w:rPr>
        <w:t xml:space="preserve"> </w:t>
      </w:r>
      <w:r>
        <w:rPr>
          <w:rFonts w:ascii="Arial" w:eastAsia="Times New Roman"/>
        </w:rPr>
        <w:t xml:space="preserve">2 </w:t>
      </w:r>
      <w:r>
        <w:rPr>
          <w:rFonts w:hint="eastAsia"/>
        </w:rPr>
        <w:t>名。</w:t>
      </w:r>
    </w:p>
    <w:p>
      <w:pPr>
        <w:pStyle w:val="3"/>
        <w:keepNext w:val="0"/>
        <w:keepLines w:val="0"/>
        <w:pageBreakBefore w:val="0"/>
        <w:widowControl w:val="0"/>
        <w:kinsoku/>
        <w:wordWrap/>
        <w:overflowPunct/>
        <w:topLinePunct w:val="0"/>
        <w:autoSpaceDE/>
        <w:autoSpaceDN/>
        <w:bidi w:val="0"/>
        <w:adjustRightInd/>
        <w:snapToGrid/>
        <w:spacing w:line="600" w:lineRule="exact"/>
        <w:ind w:left="747"/>
        <w:textAlignment w:val="auto"/>
      </w:pPr>
      <w:r>
        <w:rPr>
          <w:rFonts w:ascii="Arial" w:eastAsia="Times New Roman"/>
        </w:rPr>
        <w:t>3</w:t>
      </w:r>
      <w:r>
        <w:rPr>
          <w:rFonts w:hint="eastAsia"/>
        </w:rPr>
        <w:t>、其他管理人员岗位</w:t>
      </w:r>
      <w:r>
        <w:t xml:space="preserve"> </w:t>
      </w:r>
      <w:r>
        <w:rPr>
          <w:rFonts w:ascii="Arial" w:eastAsia="Times New Roman"/>
        </w:rPr>
        <w:t xml:space="preserve">5 </w:t>
      </w:r>
      <w:r>
        <w:rPr>
          <w:rFonts w:hint="eastAsia"/>
        </w:rPr>
        <w:t>个。</w:t>
      </w:r>
    </w:p>
    <w:p>
      <w:pPr>
        <w:pStyle w:val="3"/>
        <w:keepNext w:val="0"/>
        <w:keepLines w:val="0"/>
        <w:pageBreakBefore w:val="0"/>
        <w:widowControl w:val="0"/>
        <w:kinsoku/>
        <w:wordWrap/>
        <w:overflowPunct/>
        <w:topLinePunct w:val="0"/>
        <w:autoSpaceDE/>
        <w:autoSpaceDN/>
        <w:bidi w:val="0"/>
        <w:adjustRightInd/>
        <w:snapToGrid/>
        <w:spacing w:before="149" w:line="600" w:lineRule="exact"/>
        <w:ind w:left="746" w:firstLine="420"/>
        <w:jc w:val="left"/>
        <w:textAlignment w:val="auto"/>
        <w:rPr>
          <w:rFonts w:hAnsi="黑体" w:cs="仿宋_GB2312"/>
          <w:szCs w:val="32"/>
        </w:rPr>
      </w:pPr>
      <w:r>
        <w:rPr>
          <w:rFonts w:ascii="Arial" w:eastAsia="Times New Roman"/>
        </w:rPr>
        <w:t>4</w:t>
      </w:r>
      <w:r>
        <w:rPr>
          <w:rFonts w:hint="eastAsia"/>
        </w:rPr>
        <w:t>、专业技术岗位</w:t>
      </w:r>
      <w:r>
        <w:t xml:space="preserve"> </w:t>
      </w:r>
      <w:r>
        <w:rPr>
          <w:rFonts w:ascii="Arial" w:eastAsia="Times New Roman"/>
        </w:rPr>
        <w:t>13</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sz w:val="20"/>
        </w:rPr>
      </w:pPr>
    </w:p>
    <w:p>
      <w:pPr>
        <w:pStyle w:val="8"/>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Chars="0"/>
        <w:jc w:val="left"/>
        <w:textAlignment w:val="auto"/>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3"/>
        <w:keepNext w:val="0"/>
        <w:keepLines w:val="0"/>
        <w:pageBreakBefore w:val="0"/>
        <w:widowControl w:val="0"/>
        <w:kinsoku/>
        <w:wordWrap/>
        <w:overflowPunct/>
        <w:topLinePunct w:val="0"/>
        <w:autoSpaceDE/>
        <w:autoSpaceDN/>
        <w:bidi w:val="0"/>
        <w:adjustRightInd/>
        <w:snapToGrid/>
        <w:spacing w:before="145" w:line="600" w:lineRule="exact"/>
        <w:ind w:left="747"/>
        <w:textAlignment w:val="auto"/>
        <w:rPr>
          <w:rFonts w:ascii="黑体" w:eastAsia="黑体"/>
        </w:rPr>
      </w:pPr>
      <w:r>
        <w:rPr>
          <w:rFonts w:hint="eastAsia" w:ascii="黑体" w:eastAsia="黑体"/>
        </w:rPr>
        <w:t>内设机构及其主要职责</w:t>
      </w:r>
    </w:p>
    <w:p>
      <w:pPr>
        <w:pStyle w:val="3"/>
        <w:keepNext w:val="0"/>
        <w:keepLines w:val="0"/>
        <w:pageBreakBefore w:val="0"/>
        <w:widowControl w:val="0"/>
        <w:kinsoku/>
        <w:wordWrap/>
        <w:overflowPunct/>
        <w:topLinePunct w:val="0"/>
        <w:autoSpaceDE/>
        <w:autoSpaceDN/>
        <w:bidi w:val="0"/>
        <w:adjustRightInd/>
        <w:snapToGrid/>
        <w:spacing w:before="150" w:line="600" w:lineRule="exact"/>
        <w:ind w:left="107" w:right="195" w:firstLine="639"/>
        <w:textAlignment w:val="auto"/>
      </w:pPr>
      <w:r>
        <w:rPr>
          <w:rFonts w:hint="eastAsia"/>
        </w:rPr>
        <w:t>根据以上职责，海口市农业技术推广中心（海口市农业科学研究所、海口市热带作物服务中心）</w:t>
      </w:r>
      <w:r>
        <w:rPr>
          <w:rFonts w:hint="eastAsia"/>
          <w:spacing w:val="-30"/>
        </w:rPr>
        <w:t>内设</w:t>
      </w:r>
      <w:r>
        <w:rPr>
          <w:spacing w:val="-30"/>
        </w:rPr>
        <w:t xml:space="preserve"> </w:t>
      </w:r>
      <w:r>
        <w:rPr>
          <w:rFonts w:ascii="Arial" w:eastAsia="Times New Roman"/>
        </w:rPr>
        <w:t xml:space="preserve">6 </w:t>
      </w:r>
      <w:r>
        <w:rPr>
          <w:rFonts w:hint="eastAsia"/>
        </w:rPr>
        <w:t>个正科级内设机构：</w:t>
      </w:r>
    </w:p>
    <w:p>
      <w:pPr>
        <w:pStyle w:val="3"/>
        <w:keepNext w:val="0"/>
        <w:keepLines w:val="0"/>
        <w:pageBreakBefore w:val="0"/>
        <w:widowControl w:val="0"/>
        <w:kinsoku/>
        <w:wordWrap/>
        <w:overflowPunct/>
        <w:topLinePunct w:val="0"/>
        <w:autoSpaceDE/>
        <w:autoSpaceDN/>
        <w:bidi w:val="0"/>
        <w:adjustRightInd/>
        <w:snapToGrid/>
        <w:spacing w:before="145" w:line="600" w:lineRule="exact"/>
        <w:ind w:left="747"/>
        <w:textAlignment w:val="auto"/>
        <w:rPr>
          <w:rFonts w:hint="eastAsia" w:ascii="黑体" w:eastAsia="黑体"/>
        </w:rPr>
      </w:pPr>
      <w:r>
        <w:rPr>
          <w:rFonts w:hint="eastAsia" w:ascii="黑体" w:eastAsia="黑体"/>
        </w:rPr>
        <w:t>（一）办公室</w:t>
      </w:r>
    </w:p>
    <w:p>
      <w:pPr>
        <w:pStyle w:val="3"/>
        <w:keepNext w:val="0"/>
        <w:keepLines w:val="0"/>
        <w:pageBreakBefore w:val="0"/>
        <w:widowControl w:val="0"/>
        <w:kinsoku/>
        <w:wordWrap/>
        <w:overflowPunct/>
        <w:topLinePunct w:val="0"/>
        <w:autoSpaceDE/>
        <w:autoSpaceDN/>
        <w:bidi w:val="0"/>
        <w:adjustRightInd/>
        <w:snapToGrid/>
        <w:spacing w:before="77" w:line="600" w:lineRule="exact"/>
        <w:ind w:left="107" w:right="213" w:firstLine="639"/>
        <w:textAlignment w:val="auto"/>
      </w:pPr>
      <w:r>
        <w:rPr>
          <w:rFonts w:hint="eastAsia"/>
        </w:rPr>
        <w:t>负责起草和审核有关综合性文件和重要报告；负责会务、秘书事务、信息综合、文电处理、文书档案管理和机要保密工作；负责本单位机构编制、人事管理、干部培训、老干部服务和党群、工会工作；负责日常行政管理工作，制定内部规章制度；负责计划生育、安全保卫等工作</w:t>
      </w:r>
      <w:r>
        <w:rPr>
          <w:rFonts w:ascii="Arial" w:eastAsia="Times New Roman"/>
        </w:rPr>
        <w:t xml:space="preserve">; </w:t>
      </w:r>
      <w:r>
        <w:rPr>
          <w:rFonts w:hint="eastAsia"/>
        </w:rPr>
        <w:t>承办人大建议、政协议案提案；受理群众举报和投诉，接待群众来信来访；参与行政复议和行政诉讼；财务管理职能按有关规定执行。</w:t>
      </w:r>
    </w:p>
    <w:p>
      <w:pPr>
        <w:pStyle w:val="3"/>
        <w:keepNext w:val="0"/>
        <w:keepLines w:val="0"/>
        <w:pageBreakBefore w:val="0"/>
        <w:widowControl w:val="0"/>
        <w:kinsoku/>
        <w:wordWrap/>
        <w:overflowPunct/>
        <w:topLinePunct w:val="0"/>
        <w:autoSpaceDE/>
        <w:autoSpaceDN/>
        <w:bidi w:val="0"/>
        <w:adjustRightInd/>
        <w:snapToGrid/>
        <w:spacing w:before="145" w:line="600" w:lineRule="exact"/>
        <w:ind w:left="747"/>
        <w:textAlignment w:val="auto"/>
        <w:rPr>
          <w:rFonts w:hint="eastAsia" w:ascii="黑体" w:eastAsia="黑体"/>
        </w:rPr>
      </w:pPr>
      <w:r>
        <w:rPr>
          <w:rFonts w:hint="eastAsia" w:ascii="黑体" w:eastAsia="黑体"/>
        </w:rPr>
        <w:t>（二）植物保护科</w:t>
      </w:r>
    </w:p>
    <w:p>
      <w:pPr>
        <w:pStyle w:val="3"/>
        <w:keepNext w:val="0"/>
        <w:keepLines w:val="0"/>
        <w:pageBreakBefore w:val="0"/>
        <w:widowControl w:val="0"/>
        <w:kinsoku/>
        <w:wordWrap/>
        <w:overflowPunct/>
        <w:topLinePunct w:val="0"/>
        <w:autoSpaceDE/>
        <w:autoSpaceDN/>
        <w:bidi w:val="0"/>
        <w:adjustRightInd/>
        <w:snapToGrid/>
        <w:spacing w:before="55" w:line="600" w:lineRule="exact"/>
        <w:ind w:right="213"/>
        <w:textAlignment w:val="auto"/>
      </w:pPr>
      <w:r>
        <w:rPr>
          <w:rFonts w:hint="eastAsia"/>
        </w:rPr>
        <w:t>拟定并组织实施全市农作物有害生物防治规划；负责全市</w:t>
      </w:r>
      <w:r>
        <w:rPr>
          <w:rFonts w:hint="eastAsia"/>
          <w:spacing w:val="-1"/>
        </w:rPr>
        <w:t>新农药、新植保技术的引进、试验、示范和推广，植保专业技术的咨询指导工作；负责全市农作物病虫草鼠害的调查、统</w:t>
      </w:r>
      <w:r>
        <w:rPr>
          <w:spacing w:val="-1"/>
        </w:rPr>
        <w:t xml:space="preserve"> </w:t>
      </w:r>
      <w:r>
        <w:rPr>
          <w:rFonts w:hint="eastAsia"/>
          <w:spacing w:val="-1"/>
        </w:rPr>
        <w:t>计、报告及其发生动态信息的发布、预警和防治指导工作。</w:t>
      </w:r>
    </w:p>
    <w:p>
      <w:pPr>
        <w:pStyle w:val="3"/>
        <w:keepNext w:val="0"/>
        <w:keepLines w:val="0"/>
        <w:pageBreakBefore w:val="0"/>
        <w:widowControl w:val="0"/>
        <w:kinsoku/>
        <w:wordWrap/>
        <w:overflowPunct/>
        <w:topLinePunct w:val="0"/>
        <w:autoSpaceDE/>
        <w:autoSpaceDN/>
        <w:bidi w:val="0"/>
        <w:adjustRightInd/>
        <w:snapToGrid/>
        <w:spacing w:before="145" w:line="600" w:lineRule="exact"/>
        <w:ind w:left="747"/>
        <w:textAlignment w:val="auto"/>
        <w:rPr>
          <w:rFonts w:hint="eastAsia" w:ascii="黑体" w:eastAsia="黑体"/>
        </w:rPr>
      </w:pPr>
      <w:r>
        <w:rPr>
          <w:rFonts w:hint="eastAsia" w:ascii="黑体" w:eastAsia="黑体"/>
        </w:rPr>
        <w:t>（三）种子土肥管理科</w:t>
      </w:r>
    </w:p>
    <w:p>
      <w:pPr>
        <w:pStyle w:val="3"/>
        <w:keepNext w:val="0"/>
        <w:keepLines w:val="0"/>
        <w:pageBreakBefore w:val="0"/>
        <w:widowControl w:val="0"/>
        <w:kinsoku/>
        <w:wordWrap/>
        <w:overflowPunct/>
        <w:topLinePunct w:val="0"/>
        <w:autoSpaceDE/>
        <w:autoSpaceDN/>
        <w:bidi w:val="0"/>
        <w:adjustRightInd/>
        <w:snapToGrid/>
        <w:spacing w:before="78" w:line="600" w:lineRule="exact"/>
        <w:ind w:left="107" w:right="213" w:firstLine="799"/>
        <w:textAlignment w:val="auto"/>
      </w:pPr>
      <w:r>
        <w:rPr>
          <w:rFonts w:hint="eastAsia"/>
        </w:rPr>
        <w:t>拟定并组织实施全市种子和土肥技术中长期发展规划；</w:t>
      </w:r>
      <w:r>
        <w:t xml:space="preserve"> </w:t>
      </w:r>
      <w:r>
        <w:rPr>
          <w:rFonts w:hint="eastAsia"/>
        </w:rPr>
        <w:t>负责全市农作物品种、土壤肥料的引进、试验、示范、推广工作；指导全市农作物品种更新换代和布局；负责全市农作物品种、种子质量管理；负责全市农作物种子质量监督检验工作；</w:t>
      </w:r>
      <w:r>
        <w:t xml:space="preserve"> </w:t>
      </w:r>
      <w:r>
        <w:rPr>
          <w:rFonts w:hint="eastAsia"/>
        </w:rPr>
        <w:t>承担全市土肥技术指导工作；承担全市耕地质量管理和土壤养分检测。</w:t>
      </w:r>
    </w:p>
    <w:p>
      <w:pPr>
        <w:pStyle w:val="3"/>
        <w:keepNext w:val="0"/>
        <w:keepLines w:val="0"/>
        <w:pageBreakBefore w:val="0"/>
        <w:widowControl w:val="0"/>
        <w:kinsoku/>
        <w:wordWrap/>
        <w:overflowPunct/>
        <w:topLinePunct w:val="0"/>
        <w:autoSpaceDE/>
        <w:autoSpaceDN/>
        <w:bidi w:val="0"/>
        <w:adjustRightInd/>
        <w:snapToGrid/>
        <w:spacing w:before="145" w:line="600" w:lineRule="exact"/>
        <w:ind w:left="747"/>
        <w:textAlignment w:val="auto"/>
        <w:rPr>
          <w:rFonts w:hint="eastAsia" w:ascii="黑体" w:eastAsia="黑体"/>
        </w:rPr>
      </w:pPr>
      <w:r>
        <w:rPr>
          <w:rFonts w:hint="eastAsia" w:ascii="黑体" w:eastAsia="黑体"/>
        </w:rPr>
        <w:t>（四）农业技术推广科</w:t>
      </w:r>
    </w:p>
    <w:p>
      <w:pPr>
        <w:pStyle w:val="3"/>
        <w:keepNext w:val="0"/>
        <w:keepLines w:val="0"/>
        <w:pageBreakBefore w:val="0"/>
        <w:widowControl w:val="0"/>
        <w:kinsoku/>
        <w:wordWrap/>
        <w:overflowPunct/>
        <w:topLinePunct w:val="0"/>
        <w:autoSpaceDE/>
        <w:autoSpaceDN/>
        <w:bidi w:val="0"/>
        <w:adjustRightInd/>
        <w:snapToGrid/>
        <w:spacing w:before="77" w:line="600" w:lineRule="exact"/>
        <w:ind w:left="107" w:right="213" w:firstLine="639"/>
        <w:textAlignment w:val="auto"/>
      </w:pPr>
      <w:r>
        <w:rPr>
          <w:rFonts w:hint="eastAsia"/>
        </w:rPr>
        <w:t>负责全市农业技术推广中长期规划的拟定和实施；负责全市农作物、畜牧业新技术、新成果的引进、试验、示范和推广工作；开展农业技术咨询和普及工作；承担畜牧养殖环境监测与监督管理工作，参与畜禽品种标准及产品质量标准、养殖小区标准、饲养技术规程的制定工作；负责畜牧业、饲料工业统计分析工作，开展牧草资源保护与开发管理与合作交流工作；</w:t>
      </w:r>
      <w:r>
        <w:t xml:space="preserve"> </w:t>
      </w:r>
      <w:r>
        <w:rPr>
          <w:rFonts w:hint="eastAsia"/>
        </w:rPr>
        <w:t>指导热带作物、畜牧的生产及加工。</w:t>
      </w:r>
    </w:p>
    <w:p>
      <w:pPr>
        <w:pStyle w:val="3"/>
        <w:keepNext w:val="0"/>
        <w:keepLines w:val="0"/>
        <w:pageBreakBefore w:val="0"/>
        <w:widowControl w:val="0"/>
        <w:kinsoku/>
        <w:wordWrap/>
        <w:overflowPunct/>
        <w:topLinePunct w:val="0"/>
        <w:autoSpaceDE/>
        <w:autoSpaceDN/>
        <w:bidi w:val="0"/>
        <w:adjustRightInd/>
        <w:snapToGrid/>
        <w:spacing w:before="145" w:line="600" w:lineRule="exact"/>
        <w:ind w:left="747"/>
        <w:textAlignment w:val="auto"/>
        <w:rPr>
          <w:rFonts w:hint="eastAsia" w:ascii="黑体" w:eastAsia="黑体"/>
        </w:rPr>
      </w:pPr>
      <w:r>
        <w:rPr>
          <w:rFonts w:hint="eastAsia" w:ascii="黑体" w:eastAsia="黑体"/>
        </w:rPr>
        <w:t>（五）农村环保能源管理科</w:t>
      </w:r>
    </w:p>
    <w:p>
      <w:pPr>
        <w:pStyle w:val="3"/>
        <w:keepNext w:val="0"/>
        <w:keepLines w:val="0"/>
        <w:pageBreakBefore w:val="0"/>
        <w:widowControl w:val="0"/>
        <w:kinsoku/>
        <w:wordWrap/>
        <w:overflowPunct/>
        <w:topLinePunct w:val="0"/>
        <w:autoSpaceDE/>
        <w:autoSpaceDN/>
        <w:bidi w:val="0"/>
        <w:adjustRightInd/>
        <w:snapToGrid/>
        <w:spacing w:before="55" w:line="600" w:lineRule="exact"/>
        <w:ind w:left="107" w:right="213"/>
        <w:textAlignment w:val="auto"/>
      </w:pPr>
      <w:r>
        <w:rPr>
          <w:rFonts w:hint="eastAsia"/>
        </w:rPr>
        <w:t>拟定全市农业环境保护和生态农业、农村能源和可再生能源中长期发展规划和工作计划，并组织实施；负责沼气、生物质能、太阳能等可再生能源技术的示范、推广；负责农业生态环境监测、农产品质量安全监测、基本农田保护区的环境质量监测、农用化学物质污染的监测和防治，实施农业环境污染综合治理；开展能源环保技术咨询、宣传与信息服务工作。</w:t>
      </w:r>
    </w:p>
    <w:p>
      <w:pPr>
        <w:pStyle w:val="3"/>
        <w:keepNext w:val="0"/>
        <w:keepLines w:val="0"/>
        <w:pageBreakBefore w:val="0"/>
        <w:widowControl w:val="0"/>
        <w:kinsoku/>
        <w:wordWrap/>
        <w:overflowPunct/>
        <w:topLinePunct w:val="0"/>
        <w:autoSpaceDE/>
        <w:autoSpaceDN/>
        <w:bidi w:val="0"/>
        <w:adjustRightInd/>
        <w:snapToGrid/>
        <w:spacing w:before="145" w:line="600" w:lineRule="exact"/>
        <w:ind w:left="747"/>
        <w:textAlignment w:val="auto"/>
        <w:rPr>
          <w:rFonts w:hint="eastAsia" w:ascii="黑体" w:eastAsia="黑体"/>
        </w:rPr>
      </w:pPr>
      <w:r>
        <w:rPr>
          <w:rFonts w:hint="eastAsia" w:ascii="黑体" w:eastAsia="黑体"/>
        </w:rPr>
        <w:t>（六）农业科学研究科</w:t>
      </w:r>
    </w:p>
    <w:p>
      <w:pPr>
        <w:pStyle w:val="3"/>
        <w:keepNext w:val="0"/>
        <w:keepLines w:val="0"/>
        <w:pageBreakBefore w:val="0"/>
        <w:widowControl w:val="0"/>
        <w:kinsoku/>
        <w:wordWrap/>
        <w:overflowPunct/>
        <w:topLinePunct w:val="0"/>
        <w:autoSpaceDE/>
        <w:autoSpaceDN/>
        <w:bidi w:val="0"/>
        <w:adjustRightInd/>
        <w:snapToGrid/>
        <w:spacing w:before="55" w:line="600" w:lineRule="exact"/>
        <w:ind w:left="107" w:right="213" w:firstLine="640" w:firstLineChars="200"/>
        <w:textAlignment w:val="auto"/>
        <w:rPr>
          <w:rFonts w:hint="eastAsia"/>
        </w:rPr>
      </w:pPr>
      <w:r>
        <w:rPr>
          <w:rFonts w:hint="eastAsia"/>
        </w:rPr>
        <w:t>负责全市农业科研的发展规划及农业科研项目的组织实 施；指导市内农科基地、农业科技活动、设施建设项目；负责农业新品种、新技术的研究工作；承担市级农业科技攻关项 目、星火计划等科研任务；负责组织管理农业科技信息资料的汇总、传输和农业科技信息网站建设。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val="en-US" w:eastAsia="zh-CN"/>
        </w:rPr>
        <w:t xml:space="preserve">  </w:t>
      </w:r>
      <w:r>
        <w:rPr>
          <w:rFonts w:hint="eastAsia" w:ascii="黑体" w:hAnsi="黑体" w:eastAsia="黑体"/>
          <w:sz w:val="32"/>
          <w:szCs w:val="32"/>
        </w:rPr>
        <w:t>海口市农业技术推广中心2023年预算表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见附表：海口市农业技术推广中心</w:t>
      </w:r>
      <w:r>
        <w:rPr>
          <w:rFonts w:ascii="仿宋" w:hAnsi="仿宋" w:eastAsia="仿宋" w:cs="仿宋"/>
          <w:sz w:val="32"/>
          <w:szCs w:val="32"/>
        </w:rPr>
        <w:t>2023</w:t>
      </w:r>
      <w:r>
        <w:rPr>
          <w:rFonts w:hint="eastAsia" w:ascii="仿宋" w:hAnsi="仿宋" w:eastAsia="仿宋" w:cs="仿宋"/>
          <w:sz w:val="32"/>
          <w:szCs w:val="32"/>
        </w:rPr>
        <w:t>年预算公开表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海口市农业技术推广中心2022年预算情况说明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一、关于海口市农业技术推广中心2023年财政拨款收支预算情况的总体说明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黑体" w:eastAsia="仿宋_GB2312"/>
          <w:sz w:val="32"/>
          <w:szCs w:val="32"/>
        </w:rPr>
      </w:pPr>
      <w:r>
        <w:rPr>
          <w:rFonts w:hint="eastAsia" w:ascii="仿宋" w:hAnsi="仿宋" w:eastAsia="仿宋" w:cs="仿宋"/>
          <w:sz w:val="32"/>
          <w:szCs w:val="32"/>
        </w:rPr>
        <w:t>海口市农业技术推广中心</w:t>
      </w:r>
      <w:r>
        <w:rPr>
          <w:rFonts w:ascii="仿宋" w:hAnsi="仿宋" w:eastAsia="仿宋" w:cs="仿宋"/>
          <w:sz w:val="32"/>
          <w:szCs w:val="32"/>
        </w:rPr>
        <w:t>2023</w:t>
      </w:r>
      <w:r>
        <w:rPr>
          <w:rFonts w:hint="eastAsia" w:ascii="仿宋_GB2312" w:hAnsi="黑体" w:eastAsia="仿宋_GB2312"/>
          <w:sz w:val="32"/>
          <w:szCs w:val="32"/>
        </w:rPr>
        <w:t>年财政拨款收支总预算</w:t>
      </w:r>
      <w:r>
        <w:rPr>
          <w:rFonts w:ascii="仿宋_GB2312" w:hAnsi="黑体" w:eastAsia="仿宋_GB2312" w:cs="仿宋_GB2312"/>
          <w:sz w:val="32"/>
          <w:szCs w:val="32"/>
        </w:rPr>
        <w:t>1404.97</w:t>
      </w:r>
      <w:r>
        <w:rPr>
          <w:rFonts w:hint="eastAsia" w:ascii="仿宋_GB2312" w:hAnsi="黑体" w:eastAsia="仿宋_GB2312"/>
          <w:sz w:val="32"/>
          <w:szCs w:val="32"/>
        </w:rPr>
        <w:t>万元。其中，收入总计</w:t>
      </w:r>
      <w:r>
        <w:rPr>
          <w:rFonts w:ascii="仿宋_GB2312" w:hAnsi="黑体" w:eastAsia="仿宋_GB2312" w:cs="仿宋_GB2312"/>
          <w:sz w:val="32"/>
          <w:szCs w:val="32"/>
        </w:rPr>
        <w:t>1404.97</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1336.65</w:t>
      </w:r>
      <w:r>
        <w:rPr>
          <w:rFonts w:hint="eastAsia" w:ascii="仿宋_GB2312" w:hAnsi="黑体" w:eastAsia="仿宋_GB2312"/>
          <w:sz w:val="32"/>
          <w:szCs w:val="32"/>
        </w:rPr>
        <w:t>万元、上年结转</w:t>
      </w:r>
      <w:r>
        <w:rPr>
          <w:rFonts w:ascii="仿宋_GB2312" w:hAnsi="黑体" w:eastAsia="仿宋_GB2312" w:cs="仿宋_GB2312"/>
          <w:sz w:val="32"/>
          <w:szCs w:val="32"/>
        </w:rPr>
        <w:t>68.32</w:t>
      </w:r>
      <w:r>
        <w:rPr>
          <w:rFonts w:hint="eastAsia" w:ascii="仿宋_GB2312" w:hAnsi="黑体" w:eastAsia="仿宋_GB2312"/>
          <w:sz w:val="32"/>
          <w:szCs w:val="32"/>
        </w:rPr>
        <w:t>万元，政府性基金预算本年收入</w:t>
      </w:r>
      <w:r>
        <w:rPr>
          <w:rFonts w:ascii="仿宋_GB2312" w:hAnsi="黑体" w:eastAsia="仿宋_GB2312" w:cs="仿宋_GB2312"/>
          <w:sz w:val="32"/>
          <w:szCs w:val="32"/>
        </w:rPr>
        <w:t>0</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1404.97</w:t>
      </w:r>
      <w:r>
        <w:rPr>
          <w:rFonts w:hint="eastAsia" w:ascii="仿宋_GB2312" w:hAnsi="黑体" w:eastAsia="仿宋_GB2312"/>
          <w:sz w:val="32"/>
          <w:szCs w:val="32"/>
        </w:rPr>
        <w:t>万元，包括一般公共服务支出</w:t>
      </w:r>
      <w:r>
        <w:rPr>
          <w:rFonts w:ascii="仿宋_GB2312" w:hAnsi="黑体" w:eastAsia="仿宋_GB2312" w:cs="仿宋_GB2312"/>
          <w:sz w:val="32"/>
          <w:szCs w:val="32"/>
        </w:rPr>
        <w:t>1404.97</w:t>
      </w:r>
      <w:r>
        <w:rPr>
          <w:rFonts w:hint="eastAsia" w:ascii="仿宋_GB2312" w:hAnsi="黑体" w:eastAsia="仿宋_GB2312"/>
          <w:sz w:val="32"/>
          <w:szCs w:val="32"/>
        </w:rPr>
        <w:t>万元、外交支出</w:t>
      </w:r>
      <w:r>
        <w:rPr>
          <w:rFonts w:ascii="仿宋_GB2312" w:hAnsi="黑体" w:eastAsia="仿宋_GB2312" w:cs="仿宋_GB2312"/>
          <w:sz w:val="32"/>
          <w:szCs w:val="32"/>
        </w:rPr>
        <w:t>0</w:t>
      </w:r>
      <w:r>
        <w:rPr>
          <w:rFonts w:hint="eastAsia" w:ascii="仿宋_GB2312" w:hAnsi="黑体" w:eastAsia="仿宋_GB2312"/>
          <w:sz w:val="32"/>
          <w:szCs w:val="32"/>
        </w:rPr>
        <w:t>万元、国防支出</w:t>
      </w:r>
      <w:r>
        <w:rPr>
          <w:rFonts w:ascii="仿宋_GB2312" w:hAnsi="黑体" w:eastAsia="仿宋_GB2312" w:cs="仿宋_GB2312"/>
          <w:sz w:val="32"/>
          <w:szCs w:val="32"/>
        </w:rPr>
        <w:t>0</w:t>
      </w:r>
      <w:r>
        <w:rPr>
          <w:rFonts w:hint="eastAsia" w:ascii="仿宋_GB2312" w:hAnsi="黑体" w:eastAsia="仿宋_GB2312"/>
          <w:sz w:val="32"/>
          <w:szCs w:val="32"/>
        </w:rPr>
        <w:t>万元、……，结转下年</w:t>
      </w:r>
      <w:r>
        <w:rPr>
          <w:rFonts w:ascii="仿宋_GB2312" w:hAnsi="黑体" w:eastAsia="仿宋_GB2312" w:cs="仿宋_GB2312"/>
          <w:sz w:val="32"/>
          <w:szCs w:val="32"/>
        </w:rPr>
        <w:t>0</w:t>
      </w:r>
      <w:r>
        <w:rPr>
          <w:rFonts w:hint="eastAsia" w:ascii="仿宋_GB2312" w:hAnsi="黑体"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sz w:val="32"/>
          <w:szCs w:val="32"/>
        </w:rPr>
      </w:pPr>
      <w:r>
        <w:rPr>
          <w:rFonts w:hint="eastAsia" w:ascii="黑体" w:hAnsi="黑体" w:eastAsia="黑体"/>
          <w:sz w:val="32"/>
          <w:szCs w:val="32"/>
        </w:rPr>
        <w:t>二、关于海口市农业技术推广中心2023年一般公共预算当年拨款情况说明</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 w:hAnsi="楷体" w:eastAsia="楷体"/>
          <w:sz w:val="32"/>
          <w:szCs w:val="32"/>
        </w:rPr>
      </w:pPr>
      <w:r>
        <w:rPr>
          <w:rFonts w:hint="eastAsia" w:ascii="仿宋" w:hAnsi="仿宋" w:eastAsia="仿宋" w:cs="仿宋"/>
          <w:sz w:val="32"/>
          <w:szCs w:val="32"/>
        </w:rPr>
        <w:t>海口市农业技术推广中心</w:t>
      </w:r>
      <w:r>
        <w:rPr>
          <w:rFonts w:ascii="仿宋" w:hAnsi="仿宋" w:eastAsia="仿宋" w:cs="仿宋"/>
          <w:sz w:val="32"/>
          <w:szCs w:val="32"/>
        </w:rPr>
        <w:t>2023</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1336.65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461.79</w:t>
      </w:r>
      <w:r>
        <w:rPr>
          <w:rFonts w:hint="eastAsia" w:ascii="仿宋_GB2312" w:hAnsi="黑体" w:eastAsia="仿宋_GB2312"/>
          <w:sz w:val="32"/>
          <w:szCs w:val="32"/>
        </w:rPr>
        <w:t>万元，</w:t>
      </w:r>
      <w:r>
        <w:rPr>
          <w:rFonts w:hint="eastAsia" w:ascii="仿宋" w:hAnsi="仿宋" w:eastAsia="仿宋" w:cs="仿宋"/>
          <w:sz w:val="32"/>
          <w:szCs w:val="32"/>
        </w:rPr>
        <w:t>主要是开展中央及省市下达的项目等。</w:t>
      </w: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ascii="仿宋_GB2312" w:hAnsi="黑体" w:eastAsia="仿宋_GB2312" w:cs="仿宋_GB2312"/>
          <w:sz w:val="32"/>
          <w:szCs w:val="32"/>
        </w:rPr>
        <w:t>1404.97</w:t>
      </w:r>
      <w:r>
        <w:rPr>
          <w:rFonts w:hint="eastAsia" w:ascii="仿宋_GB2312" w:hAnsi="黑体" w:eastAsia="仿宋_GB2312"/>
          <w:sz w:val="32"/>
          <w:szCs w:val="32"/>
        </w:rPr>
        <w:t>万元，占</w:t>
      </w:r>
      <w:r>
        <w:rPr>
          <w:rFonts w:ascii="仿宋_GB2312" w:hAnsi="黑体" w:eastAsia="仿宋_GB2312" w:cs="仿宋_GB2312"/>
          <w:sz w:val="32"/>
          <w:szCs w:val="32"/>
        </w:rPr>
        <w:t>100</w:t>
      </w:r>
      <w:r>
        <w:rPr>
          <w:rFonts w:ascii="仿宋_GB2312" w:hAnsi="黑体" w:eastAsia="仿宋_GB2312"/>
          <w:sz w:val="32"/>
          <w:szCs w:val="32"/>
        </w:rPr>
        <w:t>%</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社会保障和就业支出（类）</w:t>
      </w:r>
      <w:r>
        <w:rPr>
          <w:rFonts w:hint="eastAsia" w:ascii="仿宋" w:hAnsi="仿宋" w:eastAsia="仿宋" w:cs="仿宋"/>
          <w:color w:val="4C5157"/>
          <w:sz w:val="32"/>
          <w:szCs w:val="32"/>
          <w:shd w:val="clear" w:color="auto" w:fill="FFFFFF"/>
        </w:rPr>
        <w:t>行政事业单位养老支出（款）</w:t>
      </w:r>
      <w:r>
        <w:rPr>
          <w:rFonts w:ascii="仿宋" w:hAnsi="仿宋" w:eastAsia="仿宋" w:cs="仿宋"/>
          <w:color w:val="4C5157"/>
          <w:sz w:val="32"/>
          <w:szCs w:val="32"/>
          <w:shd w:val="clear" w:color="auto" w:fill="FFFFFF"/>
        </w:rPr>
        <w:t xml:space="preserve"> </w:t>
      </w:r>
      <w:r>
        <w:rPr>
          <w:rFonts w:hint="eastAsia" w:ascii="仿宋" w:hAnsi="仿宋" w:eastAsia="仿宋" w:cs="仿宋"/>
          <w:color w:val="4C5157"/>
          <w:sz w:val="32"/>
          <w:szCs w:val="32"/>
          <w:shd w:val="clear" w:color="auto" w:fill="FFFFFF"/>
        </w:rPr>
        <w:t>行政事业单位养老支出、行政单位离退休、机关事业单位基本养老保险缴费支出、</w:t>
      </w:r>
      <w:r>
        <w:rPr>
          <w:rFonts w:ascii="仿宋" w:hAnsi="仿宋" w:eastAsia="仿宋" w:cs="仿宋"/>
          <w:color w:val="4C5157"/>
          <w:sz w:val="32"/>
          <w:szCs w:val="32"/>
          <w:shd w:val="clear" w:color="auto" w:fill="FFFFFF"/>
        </w:rPr>
        <w:t> </w:t>
      </w:r>
      <w:r>
        <w:rPr>
          <w:rFonts w:hint="eastAsia" w:ascii="仿宋" w:hAnsi="仿宋" w:eastAsia="仿宋" w:cs="仿宋"/>
          <w:color w:val="4C5157"/>
          <w:sz w:val="32"/>
          <w:szCs w:val="32"/>
          <w:shd w:val="clear" w:color="auto" w:fill="FFFFFF"/>
        </w:rPr>
        <w:t>其他行政事业单位养老支出（项）</w:t>
      </w:r>
      <w:r>
        <w:rPr>
          <w:rFonts w:ascii="仿宋" w:hAnsi="仿宋" w:eastAsia="仿宋" w:cs="仿宋"/>
          <w:sz w:val="32"/>
          <w:szCs w:val="32"/>
        </w:rPr>
        <w:t>2023</w:t>
      </w:r>
      <w:r>
        <w:rPr>
          <w:rFonts w:hint="eastAsia" w:ascii="仿宋" w:hAnsi="仿宋" w:eastAsia="仿宋" w:cs="仿宋"/>
          <w:sz w:val="32"/>
          <w:szCs w:val="32"/>
        </w:rPr>
        <w:t>年预算数为</w:t>
      </w:r>
      <w:r>
        <w:rPr>
          <w:rFonts w:ascii="仿宋" w:hAnsi="仿宋" w:eastAsia="仿宋" w:cs="仿宋"/>
          <w:sz w:val="32"/>
          <w:szCs w:val="32"/>
        </w:rPr>
        <w:t>138.89</w:t>
      </w:r>
      <w:r>
        <w:rPr>
          <w:rFonts w:hint="eastAsia" w:ascii="仿宋" w:hAnsi="仿宋" w:eastAsia="仿宋" w:cs="仿宋"/>
          <w:sz w:val="32"/>
          <w:szCs w:val="32"/>
        </w:rPr>
        <w:t>万元，比上年预算数增加</w:t>
      </w:r>
      <w:r>
        <w:rPr>
          <w:rFonts w:ascii="仿宋" w:hAnsi="仿宋" w:eastAsia="仿宋" w:cs="仿宋"/>
          <w:sz w:val="32"/>
          <w:szCs w:val="32"/>
        </w:rPr>
        <w:t>37.68</w:t>
      </w:r>
      <w:r>
        <w:rPr>
          <w:rFonts w:hint="eastAsia" w:ascii="仿宋" w:hAnsi="仿宋" w:eastAsia="仿宋" w:cs="仿宋"/>
          <w:sz w:val="32"/>
          <w:szCs w:val="32"/>
        </w:rPr>
        <w:t>万元，主要是人员增加缴纳基数增高等。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 xml:space="preserve">2. </w:t>
      </w:r>
      <w:r>
        <w:rPr>
          <w:rFonts w:hint="eastAsia" w:ascii="仿宋" w:hAnsi="仿宋" w:eastAsia="仿宋" w:cs="仿宋"/>
          <w:sz w:val="32"/>
          <w:szCs w:val="32"/>
        </w:rPr>
        <w:t>卫生健康支出（类）</w:t>
      </w:r>
      <w:r>
        <w:rPr>
          <w:rFonts w:hint="eastAsia" w:ascii="仿宋" w:hAnsi="仿宋" w:eastAsia="仿宋" w:cs="仿宋"/>
          <w:color w:val="4C5157"/>
          <w:sz w:val="32"/>
          <w:szCs w:val="32"/>
          <w:shd w:val="clear" w:color="auto" w:fill="FFFFFF"/>
        </w:rPr>
        <w:t>行政事业单位医疗（款）</w:t>
      </w:r>
      <w:r>
        <w:rPr>
          <w:rFonts w:ascii="仿宋" w:hAnsi="仿宋" w:eastAsia="仿宋" w:cs="仿宋"/>
          <w:color w:val="4C5157"/>
          <w:sz w:val="32"/>
          <w:szCs w:val="32"/>
          <w:shd w:val="clear" w:color="auto" w:fill="FFFFFF"/>
        </w:rPr>
        <w:t> </w:t>
      </w:r>
      <w:r>
        <w:rPr>
          <w:rFonts w:hint="eastAsia" w:ascii="仿宋" w:hAnsi="仿宋" w:eastAsia="仿宋" w:cs="仿宋"/>
          <w:color w:val="4C5157"/>
          <w:sz w:val="32"/>
          <w:szCs w:val="32"/>
          <w:shd w:val="clear" w:color="auto" w:fill="FFFFFF"/>
        </w:rPr>
        <w:t>行政单位医疗、事业单位医疗、公务员医疗补助、</w:t>
      </w:r>
      <w:r>
        <w:rPr>
          <w:rFonts w:ascii="仿宋" w:hAnsi="仿宋" w:eastAsia="仿宋" w:cs="仿宋"/>
          <w:color w:val="4C5157"/>
          <w:sz w:val="32"/>
          <w:szCs w:val="32"/>
          <w:shd w:val="clear" w:color="auto" w:fill="FFFFFF"/>
        </w:rPr>
        <w:t> </w:t>
      </w:r>
      <w:r>
        <w:rPr>
          <w:rFonts w:hint="eastAsia" w:ascii="仿宋" w:hAnsi="仿宋" w:eastAsia="仿宋" w:cs="仿宋"/>
          <w:color w:val="4C5157"/>
          <w:sz w:val="32"/>
          <w:szCs w:val="32"/>
          <w:shd w:val="clear" w:color="auto" w:fill="FFFFFF"/>
        </w:rPr>
        <w:t>其他行政事业单位医疗支出（项）</w:t>
      </w:r>
      <w:r>
        <w:rPr>
          <w:rFonts w:ascii="仿宋" w:hAnsi="仿宋" w:eastAsia="仿宋" w:cs="仿宋"/>
          <w:sz w:val="32"/>
          <w:szCs w:val="32"/>
        </w:rPr>
        <w:t>2023</w:t>
      </w:r>
      <w:r>
        <w:rPr>
          <w:rFonts w:hint="eastAsia" w:ascii="仿宋" w:hAnsi="仿宋" w:eastAsia="仿宋" w:cs="仿宋"/>
          <w:sz w:val="32"/>
          <w:szCs w:val="32"/>
        </w:rPr>
        <w:t>预算数为</w:t>
      </w:r>
      <w:r>
        <w:rPr>
          <w:rFonts w:ascii="仿宋" w:hAnsi="仿宋" w:eastAsia="仿宋" w:cs="仿宋"/>
          <w:sz w:val="32"/>
          <w:szCs w:val="32"/>
        </w:rPr>
        <w:t>48.50</w:t>
      </w:r>
      <w:r>
        <w:rPr>
          <w:rFonts w:hint="eastAsia" w:ascii="仿宋" w:hAnsi="仿宋" w:eastAsia="仿宋" w:cs="仿宋"/>
          <w:sz w:val="32"/>
          <w:szCs w:val="32"/>
        </w:rPr>
        <w:t>万元，比上年预算数增加</w:t>
      </w:r>
      <w:r>
        <w:rPr>
          <w:rFonts w:ascii="仿宋" w:hAnsi="仿宋" w:eastAsia="仿宋" w:cs="仿宋"/>
          <w:sz w:val="32"/>
          <w:szCs w:val="32"/>
        </w:rPr>
        <w:t>8.82</w:t>
      </w:r>
      <w:r>
        <w:rPr>
          <w:rFonts w:hint="eastAsia" w:ascii="仿宋" w:hAnsi="仿宋" w:eastAsia="仿宋" w:cs="仿宋"/>
          <w:sz w:val="32"/>
          <w:szCs w:val="32"/>
        </w:rPr>
        <w:t>万元，主要是人员计提基数提高。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 xml:space="preserve">3. </w:t>
      </w:r>
      <w:r>
        <w:rPr>
          <w:rFonts w:hint="eastAsia" w:ascii="仿宋" w:hAnsi="仿宋" w:eastAsia="仿宋" w:cs="仿宋"/>
          <w:sz w:val="32"/>
          <w:szCs w:val="32"/>
        </w:rPr>
        <w:t>农林水支出（类）</w:t>
      </w:r>
      <w:r>
        <w:rPr>
          <w:rFonts w:hint="eastAsia" w:ascii="仿宋" w:hAnsi="仿宋" w:eastAsia="仿宋" w:cs="仿宋"/>
          <w:color w:val="4C5157"/>
          <w:sz w:val="32"/>
          <w:szCs w:val="32"/>
          <w:shd w:val="clear" w:color="auto" w:fill="FFFFFF"/>
        </w:rPr>
        <w:t>农业农村（款）（项）</w:t>
      </w:r>
      <w:r>
        <w:rPr>
          <w:rFonts w:ascii="仿宋" w:hAnsi="仿宋" w:eastAsia="仿宋" w:cs="仿宋"/>
          <w:sz w:val="32"/>
          <w:szCs w:val="32"/>
        </w:rPr>
        <w:t>2023</w:t>
      </w:r>
      <w:r>
        <w:rPr>
          <w:rFonts w:hint="eastAsia" w:ascii="仿宋" w:hAnsi="仿宋" w:eastAsia="仿宋" w:cs="仿宋"/>
          <w:sz w:val="32"/>
          <w:szCs w:val="32"/>
        </w:rPr>
        <w:t>预算数为</w:t>
      </w:r>
      <w:r>
        <w:rPr>
          <w:rFonts w:ascii="仿宋" w:hAnsi="仿宋" w:eastAsia="仿宋" w:cs="仿宋"/>
          <w:sz w:val="32"/>
          <w:szCs w:val="32"/>
        </w:rPr>
        <w:t>1122.23</w:t>
      </w:r>
      <w:r>
        <w:rPr>
          <w:rFonts w:hint="eastAsia" w:ascii="仿宋" w:hAnsi="仿宋" w:eastAsia="仿宋" w:cs="仿宋"/>
          <w:sz w:val="32"/>
          <w:szCs w:val="32"/>
        </w:rPr>
        <w:t>万元，比上年预算数减少</w:t>
      </w:r>
      <w:r>
        <w:rPr>
          <w:rFonts w:ascii="仿宋" w:hAnsi="仿宋" w:eastAsia="仿宋" w:cs="仿宋"/>
          <w:sz w:val="32"/>
          <w:szCs w:val="32"/>
        </w:rPr>
        <w:t>64.03</w:t>
      </w:r>
      <w:r>
        <w:rPr>
          <w:rFonts w:hint="eastAsia" w:ascii="仿宋" w:hAnsi="仿宋" w:eastAsia="仿宋" w:cs="仿宋"/>
          <w:sz w:val="32"/>
          <w:szCs w:val="32"/>
        </w:rPr>
        <w:t>万元，主要是开展中央及省市下达的项目。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color w:val="4C5157"/>
          <w:sz w:val="32"/>
          <w:szCs w:val="32"/>
          <w:shd w:val="clear" w:color="auto" w:fill="FFFFFF"/>
        </w:rPr>
        <w:t>住房保障支出（类）住房改革支出（款）住房公积金（项）</w:t>
      </w:r>
      <w:r>
        <w:rPr>
          <w:rFonts w:ascii="仿宋" w:hAnsi="仿宋" w:eastAsia="仿宋" w:cs="仿宋"/>
          <w:color w:val="4C5157"/>
          <w:sz w:val="32"/>
          <w:szCs w:val="32"/>
          <w:shd w:val="clear" w:color="auto" w:fill="FFFFFF"/>
        </w:rPr>
        <w:t>2023</w:t>
      </w:r>
      <w:r>
        <w:rPr>
          <w:rFonts w:hint="eastAsia" w:ascii="仿宋" w:hAnsi="仿宋" w:eastAsia="仿宋" w:cs="仿宋"/>
          <w:color w:val="4C5157"/>
          <w:sz w:val="32"/>
          <w:szCs w:val="32"/>
          <w:shd w:val="clear" w:color="auto" w:fill="FFFFFF"/>
        </w:rPr>
        <w:t>年预算数为</w:t>
      </w:r>
      <w:r>
        <w:rPr>
          <w:rFonts w:ascii="仿宋" w:hAnsi="仿宋" w:eastAsia="仿宋" w:cs="仿宋"/>
          <w:color w:val="4C5157"/>
          <w:sz w:val="32"/>
          <w:szCs w:val="32"/>
          <w:shd w:val="clear" w:color="auto" w:fill="FFFFFF"/>
        </w:rPr>
        <w:t>52.20</w:t>
      </w:r>
      <w:r>
        <w:rPr>
          <w:rFonts w:hint="eastAsia" w:ascii="仿宋" w:hAnsi="仿宋" w:eastAsia="仿宋" w:cs="仿宋"/>
          <w:color w:val="4C5157"/>
          <w:sz w:val="32"/>
          <w:szCs w:val="32"/>
          <w:shd w:val="clear" w:color="auto" w:fill="FFFFFF"/>
        </w:rPr>
        <w:t>万元，比上年预算数增加</w:t>
      </w:r>
      <w:r>
        <w:rPr>
          <w:rFonts w:ascii="仿宋" w:hAnsi="仿宋" w:eastAsia="仿宋" w:cs="仿宋"/>
          <w:color w:val="4C5157"/>
          <w:sz w:val="32"/>
          <w:szCs w:val="32"/>
          <w:shd w:val="clear" w:color="auto" w:fill="FFFFFF"/>
        </w:rPr>
        <w:t>10.56</w:t>
      </w:r>
      <w:r>
        <w:rPr>
          <w:rFonts w:hint="eastAsia" w:ascii="仿宋" w:hAnsi="仿宋" w:eastAsia="仿宋" w:cs="仿宋"/>
          <w:color w:val="4C5157"/>
          <w:sz w:val="32"/>
          <w:szCs w:val="32"/>
          <w:shd w:val="clear" w:color="auto" w:fill="FFFFFF"/>
        </w:rPr>
        <w:t>万元，主要是人员数量增加。</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sz w:val="32"/>
          <w:szCs w:val="32"/>
        </w:rPr>
      </w:pPr>
      <w:r>
        <w:rPr>
          <w:rFonts w:hint="eastAsia" w:ascii="黑体" w:hAnsi="黑体" w:eastAsia="黑体"/>
          <w:sz w:val="32"/>
          <w:szCs w:val="32"/>
        </w:rPr>
        <w:t>三、关于海口市农业技术推广中心2022年一般公共预算基本支出情况说明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海口市农业技术推广中心</w:t>
      </w:r>
      <w:r>
        <w:rPr>
          <w:rFonts w:ascii="仿宋" w:hAnsi="仿宋" w:eastAsia="仿宋" w:cs="仿宋"/>
          <w:sz w:val="32"/>
          <w:szCs w:val="32"/>
        </w:rPr>
        <w:t>2023</w:t>
      </w:r>
      <w:r>
        <w:rPr>
          <w:rFonts w:hint="eastAsia" w:ascii="仿宋" w:hAnsi="仿宋" w:eastAsia="仿宋" w:cs="仿宋"/>
          <w:sz w:val="32"/>
          <w:szCs w:val="32"/>
        </w:rPr>
        <w:t>年一般公共预算基本支出为</w:t>
      </w:r>
      <w:r>
        <w:rPr>
          <w:rFonts w:ascii="仿宋" w:hAnsi="仿宋" w:eastAsia="仿宋" w:cs="仿宋"/>
          <w:sz w:val="32"/>
          <w:szCs w:val="32"/>
        </w:rPr>
        <w:t>809.95</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人员经费</w:t>
      </w:r>
      <w:r>
        <w:rPr>
          <w:rFonts w:ascii="仿宋" w:hAnsi="仿宋" w:eastAsia="仿宋" w:cs="仿宋"/>
          <w:sz w:val="32"/>
          <w:szCs w:val="32"/>
        </w:rPr>
        <w:t>743.89</w:t>
      </w:r>
      <w:r>
        <w:rPr>
          <w:rFonts w:hint="eastAsia" w:ascii="仿宋" w:hAnsi="仿宋" w:eastAsia="仿宋" w:cs="仿宋"/>
          <w:sz w:val="32"/>
          <w:szCs w:val="32"/>
        </w:rPr>
        <w:t>万元，主要包括：</w:t>
      </w:r>
      <w:r>
        <w:rPr>
          <w:rFonts w:hint="eastAsia" w:ascii="仿宋" w:hAnsi="仿宋" w:eastAsia="仿宋" w:cs="仿宋"/>
          <w:color w:val="4C5157"/>
          <w:sz w:val="32"/>
          <w:szCs w:val="32"/>
          <w:shd w:val="clear" w:color="auto" w:fill="FFFFFF"/>
        </w:rPr>
        <w:t>基本工资、津贴补贴、奖金、机关事业单位基本养老保险缴费、城镇职工基本医疗保险缴费、公务员医疗补助缴费、其他社会保障缴费、住房公积金、对个人和家庭的补助等费用</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4C5157"/>
          <w:sz w:val="32"/>
          <w:szCs w:val="32"/>
          <w:shd w:val="clear" w:color="auto" w:fill="FFFFFF"/>
        </w:rPr>
      </w:pPr>
      <w:r>
        <w:rPr>
          <w:rFonts w:hint="eastAsia" w:ascii="仿宋" w:hAnsi="仿宋" w:eastAsia="仿宋" w:cs="仿宋"/>
          <w:sz w:val="32"/>
          <w:szCs w:val="32"/>
        </w:rPr>
        <w:t>公用经费</w:t>
      </w:r>
      <w:r>
        <w:rPr>
          <w:rFonts w:ascii="仿宋" w:hAnsi="仿宋" w:eastAsia="仿宋" w:cs="仿宋"/>
          <w:sz w:val="32"/>
          <w:szCs w:val="32"/>
        </w:rPr>
        <w:t>66.07</w:t>
      </w:r>
      <w:r>
        <w:rPr>
          <w:rFonts w:hint="eastAsia" w:ascii="仿宋" w:hAnsi="仿宋" w:eastAsia="仿宋" w:cs="仿宋"/>
          <w:sz w:val="32"/>
          <w:szCs w:val="32"/>
        </w:rPr>
        <w:t>万元，主要包括：</w:t>
      </w:r>
      <w:r>
        <w:rPr>
          <w:rFonts w:hint="eastAsia" w:ascii="仿宋" w:hAnsi="仿宋" w:eastAsia="仿宋" w:cs="仿宋"/>
          <w:color w:val="4C5157"/>
          <w:sz w:val="32"/>
          <w:szCs w:val="32"/>
          <w:shd w:val="clear" w:color="auto" w:fill="FFFFFF"/>
        </w:rPr>
        <w:t>办公费、咨询费、手续费、水费、电费、培训费、车辆运行维护费、办公设备购置费等费用。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cs="Times New Roman"/>
          <w:sz w:val="32"/>
          <w:shd w:val="clear" w:color="auto" w:fill="FFFFFF"/>
        </w:rPr>
        <w:t>四、</w:t>
      </w:r>
      <w:r>
        <w:rPr>
          <w:rFonts w:hint="eastAsia" w:ascii="黑体" w:hAnsi="黑体" w:eastAsia="黑体"/>
          <w:sz w:val="32"/>
          <w:szCs w:val="32"/>
        </w:rPr>
        <w:t>海口市农业技术推广中心2023年“三公”经费预算情况说明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（一）海口市农业技术推广中心</w:t>
      </w:r>
      <w:r>
        <w:rPr>
          <w:rFonts w:ascii="仿宋" w:hAnsi="仿宋" w:eastAsia="仿宋" w:cs="仿宋"/>
          <w:sz w:val="32"/>
          <w:szCs w:val="32"/>
        </w:rPr>
        <w:t>2023</w:t>
      </w:r>
      <w:r>
        <w:rPr>
          <w:rFonts w:hint="eastAsia" w:ascii="仿宋" w:hAnsi="仿宋" w:eastAsia="仿宋" w:cs="仿宋"/>
          <w:sz w:val="32"/>
          <w:szCs w:val="32"/>
        </w:rPr>
        <w:t>年一般公共预算“三公”经费预算数为</w:t>
      </w:r>
      <w:r>
        <w:rPr>
          <w:rFonts w:ascii="仿宋" w:hAnsi="仿宋" w:eastAsia="仿宋" w:cs="仿宋"/>
          <w:sz w:val="32"/>
          <w:szCs w:val="32"/>
        </w:rPr>
        <w:t>14</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，与上年预算持平；公务用车购置及运行费</w:t>
      </w:r>
      <w:r>
        <w:rPr>
          <w:rFonts w:ascii="仿宋" w:hAnsi="仿宋" w:eastAsia="仿宋" w:cs="仿宋"/>
          <w:sz w:val="32"/>
          <w:szCs w:val="32"/>
        </w:rPr>
        <w:t>14</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，公务用车运行费</w:t>
      </w:r>
      <w:r>
        <w:rPr>
          <w:rFonts w:ascii="仿宋" w:hAnsi="仿宋" w:eastAsia="仿宋" w:cs="仿宋"/>
          <w:sz w:val="32"/>
          <w:szCs w:val="32"/>
        </w:rPr>
        <w:t>14</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，与上年预算增长</w:t>
      </w:r>
      <w:r>
        <w:rPr>
          <w:rFonts w:ascii="仿宋" w:hAnsi="仿宋" w:eastAsia="仿宋" w:cs="仿宋"/>
          <w:sz w:val="32"/>
          <w:szCs w:val="32"/>
        </w:rPr>
        <w:t>33</w:t>
      </w:r>
      <w:r>
        <w:rPr>
          <w:rFonts w:ascii="仿宋" w:hAnsi="仿宋" w:eastAsia="仿宋" w:cs="仿宋"/>
          <w:sz w:val="32"/>
          <w:shd w:val="clear" w:color="auto" w:fill="FFFFFF"/>
        </w:rPr>
        <w:t>%</w:t>
      </w:r>
      <w:r>
        <w:rPr>
          <w:rFonts w:hint="eastAsia" w:ascii="仿宋" w:hAnsi="仿宋" w:eastAsia="仿宋" w:cs="仿宋"/>
          <w:sz w:val="32"/>
          <w:shd w:val="clear" w:color="auto" w:fill="FFFFFF"/>
        </w:rPr>
        <w:t>。</w:t>
      </w:r>
      <w:r>
        <w:rPr>
          <w:rFonts w:hint="eastAsia" w:ascii="仿宋" w:hAnsi="仿宋" w:eastAsia="仿宋" w:cs="仿宋"/>
          <w:sz w:val="32"/>
        </w:rPr>
        <w:t>增长的</w:t>
      </w:r>
      <w:r>
        <w:rPr>
          <w:rFonts w:hint="eastAsia" w:ascii="仿宋" w:hAnsi="仿宋" w:eastAsia="仿宋" w:cs="仿宋"/>
          <w:sz w:val="32"/>
          <w:shd w:val="clear" w:color="auto" w:fill="FFFFFF"/>
        </w:rPr>
        <w:t>主要原因包括：车辆定编财政拨款。公务车保有量</w:t>
      </w:r>
      <w:r>
        <w:rPr>
          <w:rFonts w:ascii="仿宋" w:hAnsi="仿宋" w:eastAsia="仿宋" w:cs="仿宋"/>
          <w:sz w:val="32"/>
          <w:szCs w:val="32"/>
        </w:rPr>
        <w:t>3</w:t>
      </w:r>
      <w:r>
        <w:rPr>
          <w:rFonts w:hint="eastAsia" w:ascii="仿宋" w:hAnsi="仿宋" w:eastAsia="仿宋" w:cs="仿宋"/>
          <w:sz w:val="32"/>
          <w:szCs w:val="32"/>
        </w:rPr>
        <w:t>辆，计划购置</w:t>
      </w:r>
      <w:r>
        <w:rPr>
          <w:rFonts w:ascii="仿宋" w:hAnsi="仿宋" w:eastAsia="仿宋" w:cs="仿宋"/>
          <w:sz w:val="32"/>
          <w:szCs w:val="32"/>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ascii="仿宋" w:hAnsi="仿宋" w:eastAsia="仿宋" w:cs="仿宋"/>
          <w:sz w:val="32"/>
          <w:szCs w:val="32"/>
        </w:rPr>
        <w:t>0</w:t>
      </w:r>
      <w:r>
        <w:rPr>
          <w:rFonts w:hint="eastAsia" w:ascii="仿宋" w:hAnsi="仿宋" w:eastAsia="仿宋" w:cs="仿宋"/>
          <w:sz w:val="32"/>
          <w:shd w:val="clear" w:color="auto" w:fill="FFFFFF"/>
        </w:rPr>
        <w:t>万元，与上年预算</w:t>
      </w:r>
      <w:r>
        <w:rPr>
          <w:rFonts w:hint="eastAsia" w:ascii="Times New Roman" w:hAnsi="Times New Roman" w:eastAsia="仿宋_GB2312" w:cs="Times New Roman"/>
          <w:sz w:val="32"/>
          <w:shd w:val="clear" w:color="auto" w:fill="FFFFFF"/>
        </w:rPr>
        <w:t>下降</w:t>
      </w:r>
      <w:r>
        <w:rPr>
          <w:rFonts w:ascii="Times New Roman" w:hAnsi="Times New Roman" w:eastAsia="仿宋_GB2312" w:cs="Times New Roman"/>
          <w:sz w:val="32"/>
          <w:shd w:val="clear" w:color="auto" w:fill="FFFFFF"/>
        </w:rPr>
        <w:t>100%</w:t>
      </w:r>
      <w:r>
        <w:rPr>
          <w:rFonts w:hint="eastAsia" w:ascii="仿宋" w:hAnsi="仿宋" w:eastAsia="仿宋" w:cs="仿宋"/>
          <w:sz w:val="32"/>
          <w:shd w:val="clear" w:color="auto" w:fill="FFFFFF"/>
        </w:rPr>
        <w:t>。</w:t>
      </w:r>
      <w:r>
        <w:rPr>
          <w:rFonts w:hint="eastAsia" w:ascii="Times New Roman" w:hAnsi="Times New Roman" w:eastAsia="仿宋_GB2312" w:cs="Times New Roman"/>
          <w:sz w:val="32"/>
        </w:rPr>
        <w:t>下降的</w:t>
      </w:r>
      <w:r>
        <w:rPr>
          <w:rFonts w:hint="eastAsia" w:ascii="Times New Roman" w:hAnsi="Times New Roman" w:eastAsia="仿宋_GB2312" w:cs="Times New Roman"/>
          <w:sz w:val="32"/>
          <w:shd w:val="clear" w:color="auto" w:fill="FFFFFF"/>
        </w:rPr>
        <w:t>主要原因不安排接待人员，</w:t>
      </w:r>
      <w:r>
        <w:rPr>
          <w:rFonts w:hint="eastAsia" w:ascii="仿宋" w:hAnsi="仿宋" w:eastAsia="仿宋" w:cs="仿宋"/>
          <w:sz w:val="32"/>
          <w:shd w:val="clear" w:color="auto" w:fill="FFFFFF"/>
        </w:rPr>
        <w:t>计划接待</w:t>
      </w:r>
      <w:r>
        <w:rPr>
          <w:rFonts w:ascii="仿宋" w:hAnsi="仿宋" w:eastAsia="仿宋" w:cs="仿宋"/>
          <w:sz w:val="32"/>
          <w:szCs w:val="32"/>
        </w:rPr>
        <w:t>0</w:t>
      </w:r>
      <w:r>
        <w:rPr>
          <w:rFonts w:hint="eastAsia" w:ascii="仿宋" w:hAnsi="仿宋" w:eastAsia="仿宋" w:cs="仿宋"/>
          <w:sz w:val="32"/>
          <w:szCs w:val="32"/>
        </w:rPr>
        <w:t>批</w:t>
      </w:r>
      <w:r>
        <w:rPr>
          <w:rFonts w:ascii="仿宋" w:hAnsi="仿宋" w:eastAsia="仿宋" w:cs="仿宋"/>
          <w:sz w:val="32"/>
          <w:szCs w:val="32"/>
        </w:rPr>
        <w:t>0</w:t>
      </w:r>
      <w:r>
        <w:rPr>
          <w:rFonts w:hint="eastAsia" w:ascii="仿宋" w:hAnsi="仿宋" w:eastAsia="仿宋" w:cs="仿宋"/>
          <w:sz w:val="32"/>
          <w:szCs w:val="32"/>
        </w:rPr>
        <w:t>人</w:t>
      </w:r>
      <w:r>
        <w:rPr>
          <w:rFonts w:hint="eastAsia" w:ascii="仿宋" w:hAnsi="仿宋" w:eastAsia="仿宋" w:cs="仿宋"/>
          <w:sz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（二）海口市农业技术推广中心</w:t>
      </w:r>
      <w:r>
        <w:rPr>
          <w:rFonts w:ascii="仿宋" w:hAnsi="仿宋" w:eastAsia="仿宋" w:cs="仿宋"/>
          <w:sz w:val="32"/>
          <w:szCs w:val="32"/>
        </w:rPr>
        <w:t>2023</w:t>
      </w:r>
      <w:r>
        <w:rPr>
          <w:rFonts w:hint="eastAsia" w:ascii="仿宋" w:hAnsi="仿宋" w:eastAsia="仿宋" w:cs="仿宋"/>
          <w:sz w:val="32"/>
          <w:szCs w:val="32"/>
        </w:rPr>
        <w:t>年政府性基金预算“三公”经费预算数为</w:t>
      </w:r>
      <w:r>
        <w:rPr>
          <w:rFonts w:ascii="仿宋" w:hAnsi="仿宋" w:eastAsia="仿宋" w:cs="仿宋"/>
          <w:sz w:val="32"/>
          <w:szCs w:val="32"/>
        </w:rPr>
        <w:t>0</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2"/>
          <w:shd w:val="clear" w:color="auto" w:fill="FFFFFF"/>
        </w:rPr>
      </w:pPr>
      <w:r>
        <w:rPr>
          <w:rFonts w:ascii="仿宋" w:hAnsi="仿宋" w:eastAsia="仿宋" w:cs="仿宋"/>
          <w:sz w:val="32"/>
          <w:shd w:val="clear" w:color="auto" w:fill="FFFFFF"/>
        </w:rPr>
        <w:t xml:space="preserve">    </w:t>
      </w:r>
      <w:r>
        <w:rPr>
          <w:rFonts w:hint="eastAsia" w:ascii="仿宋" w:hAnsi="仿宋" w:eastAsia="仿宋" w:cs="仿宋"/>
          <w:sz w:val="32"/>
          <w:shd w:val="clear" w:color="auto" w:fill="FFFFFF"/>
        </w:rPr>
        <w:t>因公出国（境）经费</w:t>
      </w:r>
      <w:r>
        <w:rPr>
          <w:rFonts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，与上年预算持。公务用车购置及运行费</w:t>
      </w:r>
      <w:r>
        <w:rPr>
          <w:rFonts w:ascii="仿宋" w:hAnsi="仿宋" w:eastAsia="仿宋" w:cs="仿宋"/>
          <w:sz w:val="32"/>
          <w:szCs w:val="32"/>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，公务用车运行费</w:t>
      </w:r>
      <w:r>
        <w:rPr>
          <w:rFonts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，与上年预算持平；公务车保有量</w:t>
      </w:r>
      <w:r>
        <w:rPr>
          <w:rFonts w:ascii="仿宋" w:hAnsi="仿宋" w:eastAsia="仿宋" w:cs="仿宋"/>
          <w:sz w:val="32"/>
          <w:szCs w:val="32"/>
        </w:rPr>
        <w:t>0</w:t>
      </w:r>
      <w:r>
        <w:rPr>
          <w:rFonts w:hint="eastAsia" w:ascii="仿宋" w:hAnsi="仿宋" w:eastAsia="仿宋" w:cs="仿宋"/>
          <w:sz w:val="32"/>
          <w:szCs w:val="32"/>
        </w:rPr>
        <w:t>辆，计划购置</w:t>
      </w:r>
      <w:r>
        <w:rPr>
          <w:rFonts w:ascii="仿宋" w:hAnsi="仿宋" w:eastAsia="仿宋" w:cs="仿宋"/>
          <w:sz w:val="32"/>
          <w:szCs w:val="32"/>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ascii="仿宋" w:hAnsi="仿宋" w:eastAsia="仿宋" w:cs="仿宋"/>
          <w:sz w:val="32"/>
          <w:szCs w:val="32"/>
        </w:rPr>
        <w:t>0</w:t>
      </w:r>
      <w:r>
        <w:rPr>
          <w:rFonts w:hint="eastAsia" w:ascii="仿宋" w:hAnsi="仿宋" w:eastAsia="仿宋" w:cs="仿宋"/>
          <w:sz w:val="32"/>
          <w:shd w:val="clear" w:color="auto" w:fill="FFFFFF"/>
        </w:rPr>
        <w:t>元，与上年预算持平。计划接待</w:t>
      </w:r>
      <w:r>
        <w:rPr>
          <w:rFonts w:ascii="仿宋" w:hAnsi="仿宋" w:eastAsia="仿宋" w:cs="仿宋"/>
          <w:sz w:val="32"/>
          <w:szCs w:val="32"/>
        </w:rPr>
        <w:t>0</w:t>
      </w:r>
      <w:r>
        <w:rPr>
          <w:rFonts w:hint="eastAsia" w:ascii="仿宋" w:hAnsi="仿宋" w:eastAsia="仿宋" w:cs="仿宋"/>
          <w:sz w:val="32"/>
          <w:szCs w:val="32"/>
        </w:rPr>
        <w:t>批</w:t>
      </w:r>
      <w:r>
        <w:rPr>
          <w:rFonts w:ascii="仿宋" w:hAnsi="仿宋" w:eastAsia="仿宋" w:cs="仿宋"/>
          <w:sz w:val="32"/>
          <w:szCs w:val="32"/>
        </w:rPr>
        <w:t>0</w:t>
      </w:r>
      <w:r>
        <w:rPr>
          <w:rFonts w:hint="eastAsia" w:ascii="仿宋" w:hAnsi="仿宋" w:eastAsia="仿宋" w:cs="仿宋"/>
          <w:sz w:val="32"/>
          <w:szCs w:val="32"/>
        </w:rPr>
        <w:t>人</w:t>
      </w:r>
      <w:r>
        <w:rPr>
          <w:rFonts w:hint="eastAsia" w:ascii="仿宋" w:hAnsi="仿宋" w:eastAsia="仿宋" w:cs="仿宋"/>
          <w:sz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五、关于海口市农业技术推广中心2023年政府性基金预算当年拨款情况说明</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ascii="仿宋" w:hAnsi="仿宋" w:eastAsia="仿宋" w:cs="仿宋"/>
          <w:sz w:val="32"/>
          <w:szCs w:val="32"/>
        </w:rPr>
      </w:pPr>
      <w:r>
        <w:rPr>
          <w:rFonts w:hint="eastAsia" w:ascii="仿宋" w:hAnsi="仿宋" w:eastAsia="仿宋" w:cs="仿宋"/>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海口市农业技术推广中心</w:t>
      </w:r>
      <w:r>
        <w:rPr>
          <w:rFonts w:ascii="仿宋" w:hAnsi="仿宋" w:eastAsia="仿宋" w:cs="仿宋"/>
          <w:sz w:val="32"/>
          <w:szCs w:val="32"/>
        </w:rPr>
        <w:t>2023</w:t>
      </w:r>
      <w:r>
        <w:rPr>
          <w:rFonts w:hint="eastAsia" w:ascii="仿宋" w:hAnsi="仿宋" w:eastAsia="仿宋" w:cs="仿宋"/>
          <w:sz w:val="32"/>
          <w:szCs w:val="32"/>
        </w:rPr>
        <w:t>年政府性基金预算当年拨款</w:t>
      </w:r>
      <w:r>
        <w:rPr>
          <w:rFonts w:ascii="仿宋" w:hAnsi="仿宋" w:eastAsia="仿宋" w:cs="仿宋"/>
          <w:sz w:val="32"/>
          <w:szCs w:val="32"/>
        </w:rPr>
        <w:t>0</w:t>
      </w:r>
      <w:r>
        <w:rPr>
          <w:rFonts w:hint="eastAsia" w:ascii="仿宋" w:hAnsi="仿宋" w:eastAsia="仿宋" w:cs="仿宋"/>
          <w:sz w:val="32"/>
          <w:szCs w:val="32"/>
        </w:rPr>
        <w:t>万元，比上年预算数持平</w:t>
      </w:r>
      <w:r>
        <w:rPr>
          <w:rFonts w:ascii="仿宋" w:hAnsi="仿宋" w:eastAsia="仿宋" w:cs="仿宋"/>
          <w:sz w:val="32"/>
          <w:szCs w:val="32"/>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ascii="仿宋" w:hAnsi="仿宋" w:eastAsia="仿宋" w:cs="仿宋"/>
          <w:sz w:val="32"/>
          <w:szCs w:val="32"/>
        </w:rPr>
      </w:pPr>
      <w:r>
        <w:rPr>
          <w:rFonts w:hint="eastAsia" w:ascii="仿宋" w:hAnsi="仿宋" w:eastAsia="仿宋" w:cs="仿宋"/>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50"/>
        <w:textAlignment w:val="auto"/>
        <w:rPr>
          <w:rFonts w:ascii="仿宋" w:hAnsi="仿宋" w:eastAsia="仿宋" w:cs="仿宋"/>
          <w:sz w:val="32"/>
          <w:szCs w:val="32"/>
        </w:rPr>
      </w:pPr>
      <w:r>
        <w:rPr>
          <w:rFonts w:hint="eastAsia" w:ascii="仿宋" w:hAnsi="仿宋" w:eastAsia="仿宋" w:cs="仿宋"/>
          <w:sz w:val="32"/>
          <w:szCs w:val="32"/>
        </w:rPr>
        <w:t>科学技术支出（类）支出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；文化体育与传媒支出（类）支</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；社会保障和就业支出（类）支出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；节能环保（类）支出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ascii="仿宋" w:hAnsi="仿宋" w:eastAsia="仿宋" w:cs="仿宋"/>
          <w:sz w:val="32"/>
          <w:szCs w:val="32"/>
        </w:rPr>
      </w:pPr>
      <w:r>
        <w:rPr>
          <w:rFonts w:hint="eastAsia" w:ascii="仿宋" w:hAnsi="仿宋" w:eastAsia="仿宋" w:cs="仿宋"/>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 xml:space="preserve">1. </w:t>
      </w:r>
      <w:r>
        <w:rPr>
          <w:rFonts w:hint="eastAsia" w:ascii="仿宋" w:hAnsi="仿宋" w:eastAsia="仿宋" w:cs="仿宋"/>
          <w:sz w:val="32"/>
          <w:szCs w:val="32"/>
        </w:rPr>
        <w:t>科学技术支出（类）核电站乏燃料处理处置基金支出（款）乏燃料运输（项）</w:t>
      </w:r>
      <w:r>
        <w:rPr>
          <w:rFonts w:ascii="仿宋" w:hAnsi="仿宋" w:eastAsia="仿宋" w:cs="仿宋"/>
          <w:sz w:val="32"/>
          <w:szCs w:val="32"/>
        </w:rPr>
        <w:t>2023</w:t>
      </w:r>
      <w:r>
        <w:rPr>
          <w:rFonts w:hint="eastAsia" w:ascii="仿宋" w:hAnsi="仿宋" w:eastAsia="仿宋" w:cs="仿宋"/>
          <w:sz w:val="32"/>
          <w:szCs w:val="32"/>
        </w:rPr>
        <w:t>年预算数为</w:t>
      </w:r>
      <w:r>
        <w:rPr>
          <w:rFonts w:ascii="仿宋" w:hAnsi="仿宋" w:eastAsia="仿宋" w:cs="仿宋"/>
          <w:sz w:val="32"/>
          <w:szCs w:val="32"/>
        </w:rPr>
        <w:t>0</w:t>
      </w:r>
      <w:r>
        <w:rPr>
          <w:rFonts w:hint="eastAsia" w:ascii="仿宋" w:hAnsi="仿宋" w:eastAsia="仿宋" w:cs="仿宋"/>
          <w:sz w:val="32"/>
          <w:szCs w:val="32"/>
        </w:rPr>
        <w:t>万元，比上年预算数持平</w:t>
      </w:r>
      <w:r>
        <w:rPr>
          <w:rFonts w:ascii="仿宋" w:hAnsi="仿宋" w:eastAsia="仿宋" w:cs="仿宋"/>
          <w:sz w:val="32"/>
          <w:szCs w:val="32"/>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 xml:space="preserve">2. </w:t>
      </w:r>
      <w:r>
        <w:rPr>
          <w:rFonts w:hint="eastAsia" w:ascii="仿宋" w:hAnsi="仿宋" w:eastAsia="仿宋" w:cs="仿宋"/>
          <w:sz w:val="32"/>
          <w:szCs w:val="32"/>
        </w:rPr>
        <w:t>科学技术支出（类）核电站乏燃料处理处置基金支出（款）乏燃料离堆贮存（项）</w:t>
      </w:r>
      <w:r>
        <w:rPr>
          <w:rFonts w:ascii="仿宋" w:hAnsi="仿宋" w:eastAsia="仿宋" w:cs="仿宋"/>
          <w:sz w:val="32"/>
          <w:szCs w:val="32"/>
        </w:rPr>
        <w:t>2023</w:t>
      </w:r>
      <w:r>
        <w:rPr>
          <w:rFonts w:hint="eastAsia" w:ascii="仿宋" w:hAnsi="仿宋" w:eastAsia="仿宋" w:cs="仿宋"/>
          <w:sz w:val="32"/>
          <w:szCs w:val="32"/>
        </w:rPr>
        <w:t>年预算数为</w:t>
      </w:r>
      <w:r>
        <w:rPr>
          <w:rFonts w:ascii="仿宋" w:hAnsi="仿宋" w:eastAsia="仿宋" w:cs="仿宋"/>
          <w:sz w:val="32"/>
          <w:szCs w:val="32"/>
        </w:rPr>
        <w:t>0</w:t>
      </w:r>
      <w:r>
        <w:rPr>
          <w:rFonts w:hint="eastAsia" w:ascii="仿宋" w:hAnsi="仿宋" w:eastAsia="仿宋" w:cs="仿宋"/>
          <w:sz w:val="32"/>
          <w:szCs w:val="32"/>
        </w:rPr>
        <w:t>万元，比上年预算数持平</w:t>
      </w:r>
      <w:r>
        <w:rPr>
          <w:rFonts w:ascii="仿宋" w:hAnsi="仿宋" w:eastAsia="仿宋" w:cs="仿宋"/>
          <w:sz w:val="32"/>
          <w:szCs w:val="32"/>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六、关于海口市农业技术推广中心2023年收支预算情况的总体说明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按照综合预算原则，海口市农业技术推广中心所有收入和支出均纳入部门预算管理。收入包括：一般公共预算收入、政府性基金收入、其他财政资金收入、事业收入、；支出包括：一般公共服务支出、社会保障和就业支出、农林水支出、住房保障支出、卫生健康支出等。海口市农业技术推广中心</w:t>
      </w:r>
      <w:r>
        <w:rPr>
          <w:rFonts w:ascii="仿宋" w:hAnsi="仿宋" w:eastAsia="仿宋" w:cs="仿宋"/>
          <w:sz w:val="32"/>
          <w:szCs w:val="32"/>
        </w:rPr>
        <w:t>2022</w:t>
      </w:r>
      <w:r>
        <w:rPr>
          <w:rFonts w:hint="eastAsia" w:ascii="仿宋" w:hAnsi="仿宋" w:eastAsia="仿宋" w:cs="仿宋"/>
          <w:sz w:val="32"/>
          <w:szCs w:val="32"/>
        </w:rPr>
        <w:t>年收支总预算</w:t>
      </w:r>
      <w:r>
        <w:rPr>
          <w:rFonts w:ascii="仿宋" w:hAnsi="仿宋" w:eastAsia="仿宋" w:cs="仿宋"/>
          <w:sz w:val="32"/>
          <w:szCs w:val="32"/>
        </w:rPr>
        <w:t>1404.97</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七、关于海口市农业技术推广中心2022年收入预算情况说明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海口市农业技术推广中心</w:t>
      </w:r>
      <w:r>
        <w:rPr>
          <w:rFonts w:ascii="仿宋" w:hAnsi="仿宋" w:eastAsia="仿宋" w:cs="仿宋"/>
          <w:sz w:val="32"/>
          <w:szCs w:val="32"/>
        </w:rPr>
        <w:t>2022</w:t>
      </w:r>
      <w:r>
        <w:rPr>
          <w:rFonts w:hint="eastAsia" w:ascii="仿宋" w:hAnsi="仿宋" w:eastAsia="仿宋" w:cs="仿宋"/>
          <w:sz w:val="32"/>
          <w:szCs w:val="32"/>
        </w:rPr>
        <w:t>年收入预算</w:t>
      </w:r>
      <w:r>
        <w:rPr>
          <w:rFonts w:ascii="仿宋" w:hAnsi="仿宋" w:eastAsia="仿宋" w:cs="仿宋"/>
          <w:sz w:val="32"/>
          <w:szCs w:val="32"/>
        </w:rPr>
        <w:t>1404.97</w:t>
      </w:r>
      <w:r>
        <w:rPr>
          <w:rFonts w:hint="eastAsia" w:ascii="仿宋" w:hAnsi="仿宋" w:eastAsia="仿宋" w:cs="仿宋"/>
          <w:sz w:val="32"/>
          <w:szCs w:val="32"/>
        </w:rPr>
        <w:t>万元，其中：上年结转</w:t>
      </w:r>
      <w:r>
        <w:rPr>
          <w:rFonts w:ascii="仿宋" w:hAnsi="仿宋" w:eastAsia="仿宋" w:cs="仿宋"/>
          <w:sz w:val="32"/>
          <w:szCs w:val="32"/>
        </w:rPr>
        <w:t>68.32</w:t>
      </w:r>
      <w:r>
        <w:rPr>
          <w:rFonts w:hint="eastAsia" w:ascii="仿宋" w:hAnsi="仿宋" w:eastAsia="仿宋" w:cs="仿宋"/>
          <w:sz w:val="32"/>
          <w:szCs w:val="32"/>
        </w:rPr>
        <w:t>万元，占</w:t>
      </w:r>
      <w:r>
        <w:rPr>
          <w:rFonts w:ascii="仿宋" w:hAnsi="仿宋" w:eastAsia="仿宋" w:cs="仿宋"/>
          <w:sz w:val="32"/>
          <w:szCs w:val="32"/>
        </w:rPr>
        <w:t>0.05%</w:t>
      </w:r>
      <w:r>
        <w:rPr>
          <w:rFonts w:hint="eastAsia" w:ascii="仿宋" w:hAnsi="仿宋" w:eastAsia="仿宋" w:cs="仿宋"/>
          <w:sz w:val="32"/>
          <w:szCs w:val="32"/>
        </w:rPr>
        <w:t>；</w:t>
      </w:r>
      <w:r>
        <w:rPr>
          <w:rFonts w:hint="eastAsia" w:ascii="仿宋" w:hAnsi="仿宋" w:eastAsia="仿宋" w:cs="仿宋"/>
          <w:color w:val="4C5157"/>
          <w:sz w:val="32"/>
          <w:szCs w:val="32"/>
          <w:shd w:val="clear" w:color="auto" w:fill="FFFFFF"/>
        </w:rPr>
        <w:t>一般公共预算</w:t>
      </w:r>
      <w:r>
        <w:rPr>
          <w:rFonts w:hint="eastAsia" w:ascii="仿宋" w:hAnsi="仿宋" w:eastAsia="仿宋" w:cs="仿宋"/>
          <w:sz w:val="32"/>
          <w:szCs w:val="32"/>
        </w:rPr>
        <w:t>收入</w:t>
      </w:r>
      <w:r>
        <w:rPr>
          <w:rFonts w:ascii="仿宋" w:hAnsi="仿宋" w:eastAsia="仿宋" w:cs="仿宋"/>
          <w:sz w:val="32"/>
          <w:szCs w:val="32"/>
        </w:rPr>
        <w:t>1336.65</w:t>
      </w:r>
      <w:r>
        <w:rPr>
          <w:rFonts w:hint="eastAsia" w:ascii="仿宋" w:hAnsi="仿宋" w:eastAsia="仿宋" w:cs="仿宋"/>
          <w:sz w:val="32"/>
          <w:szCs w:val="32"/>
        </w:rPr>
        <w:t>万元，占</w:t>
      </w:r>
      <w:r>
        <w:rPr>
          <w:rFonts w:ascii="仿宋" w:hAnsi="仿宋" w:eastAsia="仿宋" w:cs="仿宋"/>
          <w:sz w:val="32"/>
          <w:szCs w:val="32"/>
        </w:rPr>
        <w:t>99.95%</w:t>
      </w:r>
      <w:r>
        <w:rPr>
          <w:rFonts w:hint="eastAsia" w:ascii="仿宋" w:hAnsi="仿宋" w:eastAsia="仿宋" w:cs="仿宋"/>
          <w:sz w:val="32"/>
          <w:szCs w:val="32"/>
        </w:rPr>
        <w:t>；政府性基金收入</w:t>
      </w:r>
      <w:r>
        <w:rPr>
          <w:rFonts w:ascii="仿宋" w:hAnsi="仿宋" w:eastAsia="仿宋" w:cs="仿宋"/>
          <w:sz w:val="32"/>
          <w:szCs w:val="32"/>
        </w:rPr>
        <w:t>0</w:t>
      </w:r>
      <w:r>
        <w:rPr>
          <w:rFonts w:hint="eastAsia" w:ascii="仿宋" w:hAnsi="仿宋" w:eastAsia="仿宋" w:cs="仿宋"/>
          <w:sz w:val="32"/>
          <w:szCs w:val="32"/>
        </w:rPr>
        <w:t>元，占</w:t>
      </w:r>
      <w:r>
        <w:rPr>
          <w:rFonts w:ascii="仿宋" w:hAnsi="仿宋" w:eastAsia="仿宋" w:cs="仿宋"/>
          <w:sz w:val="32"/>
          <w:szCs w:val="32"/>
        </w:rPr>
        <w:t>0%</w:t>
      </w:r>
      <w:r>
        <w:rPr>
          <w:rFonts w:hint="eastAsia" w:ascii="仿宋" w:hAnsi="仿宋" w:eastAsia="仿宋" w:cs="仿宋"/>
          <w:sz w:val="32"/>
          <w:szCs w:val="32"/>
        </w:rPr>
        <w:t>；专项收入</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。比上年预算数增加</w:t>
      </w:r>
      <w:r>
        <w:rPr>
          <w:rFonts w:ascii="仿宋" w:hAnsi="仿宋" w:eastAsia="仿宋" w:cs="仿宋"/>
          <w:sz w:val="32"/>
          <w:szCs w:val="32"/>
        </w:rPr>
        <w:t>461.79</w:t>
      </w:r>
      <w:r>
        <w:rPr>
          <w:rFonts w:hint="eastAsia" w:ascii="仿宋" w:hAnsi="仿宋" w:eastAsia="仿宋" w:cs="仿宋"/>
          <w:sz w:val="32"/>
          <w:szCs w:val="32"/>
        </w:rPr>
        <w:t>万元，主要开展中央及省市下达的项目。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八、关于海口市农业技术推广中心2022年支出预算情况说明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海口市农业技术推广中心</w:t>
      </w:r>
      <w:r>
        <w:rPr>
          <w:rFonts w:ascii="仿宋" w:hAnsi="仿宋" w:eastAsia="仿宋" w:cs="仿宋"/>
          <w:sz w:val="32"/>
          <w:szCs w:val="32"/>
        </w:rPr>
        <w:t>2023</w:t>
      </w:r>
      <w:r>
        <w:rPr>
          <w:rFonts w:hint="eastAsia" w:ascii="仿宋" w:hAnsi="仿宋" w:eastAsia="仿宋" w:cs="仿宋"/>
          <w:sz w:val="32"/>
          <w:szCs w:val="32"/>
        </w:rPr>
        <w:t>年支出预算</w:t>
      </w:r>
      <w:r>
        <w:rPr>
          <w:rFonts w:ascii="仿宋" w:hAnsi="仿宋" w:eastAsia="仿宋" w:cs="仿宋"/>
          <w:sz w:val="32"/>
          <w:szCs w:val="32"/>
        </w:rPr>
        <w:t>1404.97</w:t>
      </w:r>
      <w:r>
        <w:rPr>
          <w:rFonts w:hint="eastAsia" w:ascii="仿宋" w:hAnsi="仿宋" w:eastAsia="仿宋" w:cs="仿宋"/>
          <w:sz w:val="32"/>
          <w:szCs w:val="32"/>
        </w:rPr>
        <w:t>万元，其中：基本支出</w:t>
      </w:r>
      <w:r>
        <w:rPr>
          <w:rFonts w:ascii="仿宋" w:hAnsi="仿宋" w:eastAsia="仿宋" w:cs="仿宋"/>
          <w:sz w:val="32"/>
          <w:szCs w:val="32"/>
        </w:rPr>
        <w:t>809.95</w:t>
      </w:r>
      <w:r>
        <w:rPr>
          <w:rFonts w:hint="eastAsia" w:ascii="仿宋" w:hAnsi="仿宋" w:eastAsia="仿宋" w:cs="仿宋"/>
          <w:sz w:val="32"/>
          <w:szCs w:val="32"/>
        </w:rPr>
        <w:t>万元，占</w:t>
      </w:r>
      <w:r>
        <w:rPr>
          <w:rFonts w:ascii="仿宋" w:hAnsi="仿宋" w:eastAsia="仿宋" w:cs="仿宋"/>
          <w:sz w:val="32"/>
          <w:szCs w:val="32"/>
        </w:rPr>
        <w:t>58%</w:t>
      </w:r>
      <w:r>
        <w:rPr>
          <w:rFonts w:hint="eastAsia" w:ascii="仿宋" w:hAnsi="仿宋" w:eastAsia="仿宋" w:cs="仿宋"/>
          <w:sz w:val="32"/>
          <w:szCs w:val="32"/>
        </w:rPr>
        <w:t>；项目支出</w:t>
      </w:r>
      <w:r>
        <w:rPr>
          <w:rFonts w:ascii="仿宋" w:hAnsi="仿宋" w:eastAsia="仿宋" w:cs="仿宋"/>
          <w:sz w:val="32"/>
          <w:szCs w:val="32"/>
        </w:rPr>
        <w:t>595.02</w:t>
      </w:r>
      <w:r>
        <w:rPr>
          <w:rFonts w:hint="eastAsia" w:ascii="仿宋" w:hAnsi="仿宋" w:eastAsia="仿宋" w:cs="仿宋"/>
          <w:sz w:val="32"/>
          <w:szCs w:val="32"/>
        </w:rPr>
        <w:t>万元，占</w:t>
      </w:r>
      <w:r>
        <w:rPr>
          <w:rFonts w:ascii="仿宋" w:hAnsi="仿宋" w:eastAsia="仿宋" w:cs="仿宋"/>
          <w:sz w:val="32"/>
          <w:szCs w:val="32"/>
        </w:rPr>
        <w:t>42%</w:t>
      </w:r>
      <w:r>
        <w:rPr>
          <w:rFonts w:hint="eastAsia" w:ascii="仿宋" w:hAnsi="仿宋" w:eastAsia="仿宋" w:cs="仿宋"/>
          <w:sz w:val="32"/>
          <w:szCs w:val="32"/>
        </w:rPr>
        <w:t>。比上年预算数减少</w:t>
      </w:r>
      <w:r>
        <w:rPr>
          <w:rFonts w:ascii="仿宋" w:hAnsi="仿宋" w:eastAsia="仿宋" w:cs="仿宋"/>
          <w:sz w:val="32"/>
          <w:szCs w:val="32"/>
        </w:rPr>
        <w:t>6.75</w:t>
      </w:r>
      <w:r>
        <w:rPr>
          <w:rFonts w:hint="eastAsia" w:ascii="仿宋" w:hAnsi="仿宋" w:eastAsia="仿宋" w:cs="仿宋"/>
          <w:sz w:val="32"/>
          <w:szCs w:val="32"/>
        </w:rPr>
        <w:t>万元，主要是开展中央及省市下达的项目。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（一）机关运行经费（行政单位、参照公务员法管理的事业单位需说明，其他单位不需要说明）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2023</w:t>
      </w:r>
      <w:r>
        <w:rPr>
          <w:rFonts w:hint="eastAsia" w:ascii="仿宋" w:hAnsi="仿宋" w:eastAsia="仿宋" w:cs="仿宋"/>
          <w:sz w:val="32"/>
          <w:szCs w:val="32"/>
        </w:rPr>
        <w:t>年海口市农业技术推广中心（公开部门预算时罗列下属参照公务员法管理的事业单位）等的机关运行经费预算</w:t>
      </w:r>
      <w:r>
        <w:rPr>
          <w:rFonts w:ascii="仿宋" w:hAnsi="仿宋" w:eastAsia="仿宋" w:cs="仿宋"/>
          <w:sz w:val="32"/>
          <w:szCs w:val="32"/>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sz w:val="32"/>
          <w:szCs w:val="32"/>
        </w:rPr>
      </w:pPr>
      <w:r>
        <w:rPr>
          <w:rFonts w:ascii="仿宋" w:hAnsi="仿宋" w:eastAsia="仿宋" w:cs="仿宋"/>
          <w:sz w:val="32"/>
          <w:szCs w:val="32"/>
        </w:rPr>
        <w:t>2023</w:t>
      </w:r>
      <w:r>
        <w:rPr>
          <w:rFonts w:hint="eastAsia" w:ascii="仿宋" w:hAnsi="仿宋" w:eastAsia="仿宋" w:cs="仿宋"/>
          <w:sz w:val="32"/>
          <w:szCs w:val="32"/>
        </w:rPr>
        <w:t>年海口市农业技术推广中心政府采购预算总额</w:t>
      </w:r>
      <w:r>
        <w:rPr>
          <w:rFonts w:ascii="仿宋" w:hAnsi="仿宋" w:eastAsia="仿宋" w:cs="仿宋"/>
          <w:sz w:val="32"/>
          <w:szCs w:val="32"/>
        </w:rPr>
        <w:t>0</w:t>
      </w:r>
      <w:r>
        <w:rPr>
          <w:rFonts w:hint="eastAsia" w:ascii="仿宋" w:hAnsi="仿宋" w:eastAsia="仿宋" w:cs="仿宋"/>
          <w:sz w:val="32"/>
          <w:szCs w:val="32"/>
        </w:rPr>
        <w:t>万元，其中：政府采购货物预算</w:t>
      </w:r>
      <w:r>
        <w:rPr>
          <w:rFonts w:ascii="仿宋" w:hAnsi="仿宋" w:eastAsia="仿宋" w:cs="仿宋"/>
          <w:sz w:val="32"/>
          <w:szCs w:val="32"/>
        </w:rPr>
        <w:t>0</w:t>
      </w:r>
      <w:r>
        <w:rPr>
          <w:rFonts w:hint="eastAsia" w:ascii="仿宋" w:hAnsi="仿宋" w:eastAsia="仿宋" w:cs="仿宋"/>
          <w:sz w:val="32"/>
          <w:szCs w:val="32"/>
        </w:rPr>
        <w:t>万元，政府采购工程预算</w:t>
      </w:r>
      <w:r>
        <w:rPr>
          <w:rFonts w:ascii="仿宋" w:hAnsi="仿宋" w:eastAsia="仿宋" w:cs="仿宋"/>
          <w:sz w:val="32"/>
          <w:szCs w:val="32"/>
        </w:rPr>
        <w:t>0</w:t>
      </w:r>
      <w:r>
        <w:rPr>
          <w:rFonts w:hint="eastAsia" w:ascii="仿宋" w:hAnsi="仿宋" w:eastAsia="仿宋" w:cs="仿宋"/>
          <w:sz w:val="32"/>
          <w:szCs w:val="32"/>
        </w:rPr>
        <w:t>万元，政府采购服务预算</w:t>
      </w:r>
      <w:r>
        <w:rPr>
          <w:rFonts w:ascii="仿宋" w:hAnsi="仿宋" w:eastAsia="仿宋" w:cs="仿宋"/>
          <w:sz w:val="32"/>
          <w:szCs w:val="32"/>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截至</w:t>
      </w:r>
      <w:r>
        <w:rPr>
          <w:rFonts w:ascii="仿宋" w:hAnsi="仿宋" w:eastAsia="仿宋" w:cs="仿宋"/>
          <w:sz w:val="32"/>
          <w:szCs w:val="32"/>
        </w:rPr>
        <w:t>2022</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日，海口市农业技术推广中心单位共有车辆</w:t>
      </w:r>
      <w:r>
        <w:rPr>
          <w:rFonts w:ascii="仿宋" w:hAnsi="仿宋" w:eastAsia="仿宋" w:cs="仿宋"/>
          <w:sz w:val="32"/>
          <w:szCs w:val="32"/>
        </w:rPr>
        <w:t>3</w:t>
      </w:r>
      <w:r>
        <w:rPr>
          <w:rFonts w:hint="eastAsia" w:ascii="仿宋" w:hAnsi="仿宋" w:eastAsia="仿宋" w:cs="仿宋"/>
          <w:sz w:val="32"/>
          <w:szCs w:val="32"/>
        </w:rPr>
        <w:t>辆，其中，领导干部用车</w:t>
      </w:r>
      <w:r>
        <w:rPr>
          <w:rFonts w:ascii="仿宋" w:hAnsi="仿宋" w:eastAsia="仿宋" w:cs="仿宋"/>
          <w:sz w:val="32"/>
          <w:szCs w:val="32"/>
        </w:rPr>
        <w:t>0</w:t>
      </w:r>
      <w:r>
        <w:rPr>
          <w:rFonts w:hint="eastAsia" w:ascii="仿宋" w:hAnsi="仿宋" w:eastAsia="仿宋" w:cs="仿宋"/>
          <w:sz w:val="32"/>
          <w:szCs w:val="32"/>
        </w:rPr>
        <w:t>辆，机要通信应急用车</w:t>
      </w:r>
      <w:r>
        <w:rPr>
          <w:rFonts w:ascii="仿宋" w:hAnsi="仿宋" w:eastAsia="仿宋" w:cs="仿宋"/>
          <w:sz w:val="32"/>
          <w:szCs w:val="32"/>
        </w:rPr>
        <w:t>0</w:t>
      </w:r>
      <w:r>
        <w:rPr>
          <w:rFonts w:hint="eastAsia" w:ascii="仿宋" w:hAnsi="仿宋" w:eastAsia="仿宋" w:cs="仿宋"/>
          <w:sz w:val="32"/>
          <w:szCs w:val="32"/>
        </w:rPr>
        <w:t>辆、一般执法执勤用车</w:t>
      </w:r>
      <w:r>
        <w:rPr>
          <w:rFonts w:ascii="仿宋" w:hAnsi="仿宋" w:eastAsia="仿宋" w:cs="仿宋"/>
          <w:sz w:val="32"/>
          <w:szCs w:val="32"/>
        </w:rPr>
        <w:t>0</w:t>
      </w:r>
      <w:r>
        <w:rPr>
          <w:rFonts w:hint="eastAsia" w:ascii="仿宋" w:hAnsi="仿宋" w:eastAsia="仿宋" w:cs="仿宋"/>
          <w:sz w:val="32"/>
          <w:szCs w:val="32"/>
        </w:rPr>
        <w:t>辆、特种专业技术用车</w:t>
      </w:r>
      <w:r>
        <w:rPr>
          <w:rFonts w:ascii="仿宋" w:hAnsi="仿宋" w:eastAsia="仿宋" w:cs="仿宋"/>
          <w:sz w:val="32"/>
          <w:szCs w:val="32"/>
        </w:rPr>
        <w:t>2</w:t>
      </w:r>
      <w:r>
        <w:rPr>
          <w:rFonts w:hint="eastAsia" w:ascii="仿宋" w:hAnsi="仿宋" w:eastAsia="仿宋" w:cs="仿宋"/>
          <w:sz w:val="32"/>
          <w:szCs w:val="32"/>
        </w:rPr>
        <w:t>辆、其他用车</w:t>
      </w:r>
      <w:r>
        <w:rPr>
          <w:rFonts w:ascii="仿宋" w:hAnsi="仿宋" w:eastAsia="仿宋" w:cs="仿宋"/>
          <w:sz w:val="32"/>
          <w:szCs w:val="32"/>
        </w:rPr>
        <w:t>0</w:t>
      </w:r>
      <w:r>
        <w:rPr>
          <w:rFonts w:hint="eastAsia" w:ascii="仿宋" w:hAnsi="仿宋" w:eastAsia="仿宋" w:cs="仿宋"/>
          <w:sz w:val="32"/>
          <w:szCs w:val="32"/>
        </w:rPr>
        <w:t>辆。单位价值</w:t>
      </w:r>
      <w:r>
        <w:rPr>
          <w:rFonts w:ascii="仿宋" w:hAnsi="仿宋" w:eastAsia="仿宋" w:cs="仿宋"/>
          <w:sz w:val="32"/>
          <w:szCs w:val="32"/>
        </w:rPr>
        <w:t>100</w:t>
      </w:r>
      <w:r>
        <w:rPr>
          <w:rFonts w:hint="eastAsia" w:ascii="仿宋" w:hAnsi="仿宋" w:eastAsia="仿宋" w:cs="仿宋"/>
          <w:sz w:val="32"/>
          <w:szCs w:val="32"/>
        </w:rPr>
        <w:t>万元以上设备</w:t>
      </w:r>
      <w:r>
        <w:rPr>
          <w:rFonts w:ascii="仿宋" w:hAnsi="仿宋" w:eastAsia="仿宋" w:cs="仿宋"/>
          <w:sz w:val="32"/>
          <w:szCs w:val="32"/>
        </w:rPr>
        <w:t>0</w:t>
      </w:r>
      <w:r>
        <w:rPr>
          <w:rFonts w:hint="eastAsia" w:ascii="仿宋" w:hAnsi="仿宋" w:eastAsia="仿宋" w:cs="仿宋"/>
          <w:sz w:val="32"/>
          <w:szCs w:val="32"/>
        </w:rPr>
        <w:t>台（套）。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2023</w:t>
      </w:r>
      <w:r>
        <w:rPr>
          <w:rFonts w:hint="eastAsia" w:ascii="仿宋" w:hAnsi="仿宋" w:eastAsia="仿宋" w:cs="仿宋"/>
          <w:sz w:val="32"/>
          <w:szCs w:val="32"/>
        </w:rPr>
        <w:t>年海口市农业技术推广中心</w:t>
      </w:r>
      <w:r>
        <w:rPr>
          <w:rFonts w:ascii="仿宋" w:hAnsi="仿宋" w:eastAsia="仿宋" w:cs="仿宋"/>
          <w:sz w:val="32"/>
          <w:szCs w:val="32"/>
        </w:rPr>
        <w:t>18</w:t>
      </w:r>
      <w:r>
        <w:rPr>
          <w:rFonts w:hint="eastAsia" w:ascii="仿宋" w:hAnsi="仿宋" w:eastAsia="仿宋" w:cs="仿宋"/>
          <w:sz w:val="32"/>
          <w:szCs w:val="32"/>
        </w:rPr>
        <w:t>个项目实行绩效目标管理，涉及一般公共预算</w:t>
      </w:r>
      <w:r>
        <w:rPr>
          <w:rFonts w:ascii="仿宋" w:hAnsi="仿宋" w:eastAsia="仿宋" w:cs="仿宋"/>
          <w:sz w:val="32"/>
          <w:szCs w:val="32"/>
        </w:rPr>
        <w:t>1404.97</w:t>
      </w:r>
      <w:r>
        <w:rPr>
          <w:rFonts w:hint="eastAsia" w:ascii="仿宋" w:hAnsi="仿宋" w:eastAsia="仿宋" w:cs="仿宋"/>
          <w:sz w:val="32"/>
          <w:szCs w:val="32"/>
        </w:rPr>
        <w:t>万元、政府性基金</w:t>
      </w:r>
      <w:r>
        <w:rPr>
          <w:rFonts w:ascii="仿宋" w:hAnsi="仿宋" w:eastAsia="仿宋" w:cs="仿宋"/>
          <w:sz w:val="32"/>
          <w:szCs w:val="32"/>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仿宋" w:hAnsi="仿宋" w:eastAsia="仿宋" w:cs="仿宋"/>
          <w:color w:val="000000"/>
          <w:kern w:val="0"/>
          <w:sz w:val="32"/>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b/>
          <w:sz w:val="32"/>
          <w:szCs w:val="32"/>
        </w:rPr>
      </w:pPr>
      <w:r>
        <w:rPr>
          <w:rFonts w:hint="eastAsia" w:ascii="仿宋" w:hAnsi="仿宋" w:eastAsia="仿宋" w:cs="仿宋"/>
          <w:b/>
          <w:sz w:val="32"/>
          <w:szCs w:val="32"/>
        </w:rPr>
        <w:t>第四部分</w:t>
      </w:r>
      <w:r>
        <w:rPr>
          <w:rFonts w:ascii="仿宋" w:hAnsi="仿宋" w:eastAsia="仿宋" w:cs="仿宋"/>
          <w:b/>
          <w:sz w:val="32"/>
          <w:szCs w:val="32"/>
        </w:rPr>
        <w:t xml:space="preserve">  </w:t>
      </w:r>
      <w:r>
        <w:rPr>
          <w:rFonts w:hint="eastAsia" w:ascii="仿宋" w:hAnsi="仿宋" w:eastAsia="仿宋" w:cs="仿宋"/>
          <w:b/>
          <w:sz w:val="32"/>
          <w:szCs w:val="32"/>
        </w:rPr>
        <w:t>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bCs/>
          <w:color w:val="000000"/>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kern w:val="0"/>
          <w:sz w:val="32"/>
          <w:szCs w:val="30"/>
        </w:rPr>
      </w:pPr>
      <w:r>
        <w:rPr>
          <w:rFonts w:hint="eastAsia" w:ascii="仿宋" w:hAnsi="仿宋" w:eastAsia="仿宋" w:cs="仿宋"/>
          <w:color w:val="000000"/>
          <w:kern w:val="0"/>
          <w:sz w:val="32"/>
          <w:szCs w:val="30"/>
        </w:rPr>
        <w:t>六、基本支出：指行政事业单位用于为保障其机构正常运转、完成日常工作任务而发生的人员支出和公用支出。</w:t>
      </w:r>
      <w:r>
        <w:rPr>
          <w:rFonts w:ascii="仿宋" w:hAnsi="仿宋" w:eastAsia="仿宋" w:cs="仿宋"/>
          <w:color w:val="000000"/>
          <w:kern w:val="0"/>
          <w:sz w:val="32"/>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sectPr>
          <w:headerReference r:id="rId3" w:type="default"/>
          <w:footerReference r:id="rId4" w:type="default"/>
          <w:pgSz w:w="11910" w:h="16840"/>
          <w:pgMar w:top="1600" w:right="1460" w:bottom="1760" w:left="1480" w:header="0" w:footer="1563" w:gutter="0"/>
          <w:cols w:space="720" w:num="1"/>
        </w:sect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sz w:val="20"/>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val="en-US"/>
      </w:rPr>
      <mc:AlternateContent>
        <mc:Choice Requires="wps">
          <w:drawing>
            <wp:anchor distT="0" distB="0" distL="114300" distR="114300" simplePos="0" relativeHeight="251659264" behindDoc="1" locked="0" layoutInCell="1" allowOverlap="1">
              <wp:simplePos x="0" y="0"/>
              <wp:positionH relativeFrom="page">
                <wp:posOffset>6062980</wp:posOffset>
              </wp:positionH>
              <wp:positionV relativeFrom="page">
                <wp:posOffset>9560560</wp:posOffset>
              </wp:positionV>
              <wp:extent cx="501650" cy="2159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01650" cy="215900"/>
                      </a:xfrm>
                      <a:prstGeom prst="rect">
                        <a:avLst/>
                      </a:prstGeom>
                      <a:noFill/>
                      <a:ln>
                        <a:noFill/>
                      </a:ln>
                      <a:effectLst/>
                    </wps:spPr>
                    <wps:txbx>
                      <w:txbxContent>
                        <w:p>
                          <w:pPr>
                            <w:spacing w:line="340" w:lineRule="exact"/>
                            <w:ind w:left="20"/>
                            <w:jc w:val="left"/>
                            <w:rPr>
                              <w:sz w:val="30"/>
                            </w:rPr>
                          </w:pPr>
                          <w:r>
                            <w:rPr>
                              <w:sz w:val="30"/>
                            </w:rPr>
                            <w:t xml:space="preserve">- </w:t>
                          </w:r>
                          <w:r>
                            <w:rPr>
                              <w:sz w:val="30"/>
                            </w:rPr>
                            <w:fldChar w:fldCharType="begin"/>
                          </w:r>
                          <w:r>
                            <w:rPr>
                              <w:sz w:val="30"/>
                            </w:rPr>
                            <w:instrText xml:space="preserve"> PAGE </w:instrText>
                          </w:r>
                          <w:r>
                            <w:rPr>
                              <w:sz w:val="30"/>
                            </w:rPr>
                            <w:fldChar w:fldCharType="separate"/>
                          </w:r>
                          <w:r>
                            <w:rPr>
                              <w:sz w:val="30"/>
                            </w:rPr>
                            <w:t>7</w:t>
                          </w:r>
                          <w:r>
                            <w:rPr>
                              <w:sz w:val="30"/>
                            </w:rPr>
                            <w:fldChar w:fldCharType="end"/>
                          </w:r>
                          <w:r>
                            <w:rPr>
                              <w:sz w:val="30"/>
                            </w:rPr>
                            <w:t xml:space="preserve"> -</w:t>
                          </w:r>
                        </w:p>
                      </w:txbxContent>
                    </wps:txbx>
                    <wps:bodyPr lIns="0" tIns="0" rIns="0" bIns="0" upright="1"/>
                  </wps:wsp>
                </a:graphicData>
              </a:graphic>
            </wp:anchor>
          </w:drawing>
        </mc:Choice>
        <mc:Fallback>
          <w:pict>
            <v:shape id="_x0000_s1026" o:spid="_x0000_s1026" o:spt="202" type="#_x0000_t202" style="position:absolute;left:0pt;margin-left:477.4pt;margin-top:752.8pt;height:17pt;width:39.5pt;mso-position-horizontal-relative:page;mso-position-vertical-relative:page;z-index:-251657216;mso-width-relative:page;mso-height-relative:page;" filled="f" stroked="f" coordsize="21600,21600" o:gfxdata="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Dk5RzaAAAADgEAAA8AAAAAAAAAAQAgAAAAIgAAAGRycy9kb3ducmV2Lnht&#10;bFBLAQIUABQAAAAIAIdO4kA1ButbvgEAAH8DAAAOAAAAAAAAAAEAIAAAACkBAABkcnMvZTJvRG9j&#10;LnhtbFBLBQYAAAAABgAGAFkBAABZBQAAAAA=&#10;">
              <v:fill on="f" focussize="0,0"/>
              <v:stroke on="f"/>
              <v:imagedata o:title=""/>
              <o:lock v:ext="edit" aspectratio="f"/>
              <v:textbox inset="0mm,0mm,0mm,0mm">
                <w:txbxContent>
                  <w:p>
                    <w:pPr>
                      <w:spacing w:line="340" w:lineRule="exact"/>
                      <w:ind w:left="20"/>
                      <w:jc w:val="left"/>
                      <w:rPr>
                        <w:sz w:val="30"/>
                      </w:rPr>
                    </w:pPr>
                    <w:r>
                      <w:rPr>
                        <w:sz w:val="30"/>
                      </w:rPr>
                      <w:t xml:space="preserve">- </w:t>
                    </w:r>
                    <w:r>
                      <w:rPr>
                        <w:sz w:val="30"/>
                      </w:rPr>
                      <w:fldChar w:fldCharType="begin"/>
                    </w:r>
                    <w:r>
                      <w:rPr>
                        <w:sz w:val="30"/>
                      </w:rPr>
                      <w:instrText xml:space="preserve"> PAGE </w:instrText>
                    </w:r>
                    <w:r>
                      <w:rPr>
                        <w:sz w:val="30"/>
                      </w:rPr>
                      <w:fldChar w:fldCharType="separate"/>
                    </w:r>
                    <w:r>
                      <w:rPr>
                        <w:sz w:val="30"/>
                      </w:rPr>
                      <w:t>7</w:t>
                    </w:r>
                    <w:r>
                      <w:rPr>
                        <w:sz w:val="30"/>
                      </w:rPr>
                      <w:fldChar w:fldCharType="end"/>
                    </w:r>
                    <w:r>
                      <w:rPr>
                        <w:sz w:val="3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143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OTllNTQzNGEwYjNhOTYyNDEzZDk3ZWVhMDRiZTUifQ=="/>
  </w:docVars>
  <w:rsids>
    <w:rsidRoot w:val="1B2D381A"/>
    <w:rsid w:val="1B2D3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99"/>
    <w:pPr>
      <w:spacing w:line="478" w:lineRule="exact"/>
      <w:ind w:left="748"/>
      <w:outlineLvl w:val="1"/>
    </w:pPr>
    <w:rPr>
      <w:rFonts w:ascii="Microsoft JhengHei" w:hAnsi="Microsoft JhengHei" w:eastAsia="Microsoft JhengHei" w:cs="Microsoft JhengHei"/>
      <w:b/>
      <w:bCs/>
      <w:sz w:val="32"/>
      <w:szCs w:val="32"/>
      <w:lang w:val="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iPriority w:val="99"/>
    <w:rPr>
      <w:rFonts w:ascii="仿宋_GB2312" w:hAnsi="仿宋_GB2312" w:eastAsia="仿宋_GB2312" w:cs="仿宋_GB2312"/>
      <w:sz w:val="32"/>
      <w:szCs w:val="32"/>
      <w:lang w:val="zh-CN"/>
    </w:rPr>
  </w:style>
  <w:style w:type="paragraph" w:styleId="4">
    <w:name w:val="footer"/>
    <w:basedOn w:val="1"/>
    <w:semiHidden/>
    <w:uiPriority w:val="99"/>
    <w:pPr>
      <w:tabs>
        <w:tab w:val="center" w:pos="4153"/>
        <w:tab w:val="right" w:pos="8306"/>
      </w:tabs>
      <w:snapToGrid w:val="0"/>
      <w:jc w:val="left"/>
    </w:pPr>
    <w:rPr>
      <w:sz w:val="18"/>
      <w:szCs w:val="18"/>
    </w:rPr>
  </w:style>
  <w:style w:type="paragraph" w:styleId="5">
    <w:name w:val="header"/>
    <w:basedOn w:val="1"/>
    <w:semiHidden/>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1"/>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2023-03-20T07:14:00Z</dcterms:created>
  <dc:creator>王娇虹</dc:creator>
  <cp:lastModifiedBy>王娇虹</cp:lastModifiedBy>
  <dcterms:modified xsi:type="dcterms:W3CDTF">2023-03-20T07:27:00Z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A32E1EE8920B49EA8222AD5693188F74</vt:lpwstr>
  </property>
</Properties>
</file>