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r>
        <w:rPr>
          <w:rFonts w:hint="eastAsia"/>
          <w:sz w:val="44"/>
          <w:szCs w:val="44"/>
          <w:lang w:val="en-US" w:eastAsia="zh-CN"/>
        </w:rPr>
        <w:t xml:space="preserve">2022年海口市农业技术推广中心预算 </w:t>
      </w:r>
    </w:p>
    <w:p>
      <w:pPr>
        <w:keepNext w:val="0"/>
        <w:keepLines w:val="0"/>
        <w:widowControl/>
        <w:suppressLineNumbers w:val="0"/>
        <w:spacing w:before="226" w:beforeAutospacing="0" w:after="0" w:afterAutospacing="0"/>
        <w:ind w:left="0" w:right="0"/>
        <w:jc w:val="center"/>
      </w:pPr>
      <w:r>
        <w:rPr>
          <w:rFonts w:ascii="仿宋_GB2312" w:hAnsi="微软雅黑" w:eastAsia="仿宋_GB2312" w:cs="仿宋_GB2312"/>
          <w:color w:val="444444"/>
          <w:kern w:val="0"/>
          <w:sz w:val="52"/>
          <w:szCs w:val="52"/>
          <w:lang w:val="en-US" w:eastAsia="zh-CN" w:bidi="ar"/>
        </w:rPr>
        <w:t>目录</w:t>
      </w:r>
    </w:p>
    <w:p>
      <w:pPr>
        <w:pStyle w:val="7"/>
        <w:keepNext w:val="0"/>
        <w:keepLines w:val="0"/>
        <w:widowControl/>
        <w:suppressLineNumbers w:val="0"/>
        <w:spacing w:before="226" w:beforeAutospacing="0" w:after="0" w:afterAutospacing="0"/>
        <w:ind w:left="1320" w:right="0" w:hanging="1320"/>
        <w:jc w:val="left"/>
      </w:pPr>
      <w:r>
        <w:rPr>
          <w:rFonts w:ascii="黑体" w:hAnsi="宋体" w:eastAsia="黑体" w:cs="黑体"/>
          <w:color w:val="444444"/>
          <w:sz w:val="32"/>
          <w:szCs w:val="32"/>
        </w:rPr>
        <w:t>第一部分 </w:t>
      </w:r>
      <w:r>
        <w:rPr>
          <w:rFonts w:hint="eastAsia" w:ascii="仿宋_GB2312" w:hAnsi="微软雅黑" w:eastAsia="仿宋_GB2312" w:cs="仿宋_GB2312"/>
          <w:color w:val="444444"/>
          <w:sz w:val="32"/>
          <w:szCs w:val="32"/>
        </w:rPr>
        <w:t>海口市农业技术推广中心概况</w:t>
      </w:r>
    </w:p>
    <w:p>
      <w:pPr>
        <w:pStyle w:val="7"/>
        <w:keepNext w:val="0"/>
        <w:keepLines w:val="0"/>
        <w:widowControl/>
        <w:numPr>
          <w:ilvl w:val="0"/>
          <w:numId w:val="0"/>
        </w:numPr>
        <w:suppressLineNumbers w:val="0"/>
        <w:spacing w:before="226" w:beforeAutospacing="0" w:after="0" w:afterAutospacing="0"/>
        <w:ind w:right="0" w:rightChars="0"/>
        <w:jc w:val="left"/>
        <w:rPr>
          <w:rFonts w:hint="eastAsia" w:ascii="仿宋_GB2312" w:hAnsi="微软雅黑" w:eastAsia="仿宋_GB2312" w:cs="仿宋_GB2312"/>
          <w:color w:val="444444"/>
          <w:sz w:val="32"/>
          <w:szCs w:val="32"/>
          <w:lang w:eastAsia="zh-CN"/>
        </w:rPr>
      </w:pPr>
      <w:r>
        <w:rPr>
          <w:rFonts w:hint="eastAsia" w:ascii="仿宋_GB2312" w:hAnsi="微软雅黑" w:eastAsia="仿宋_GB2312" w:cs="仿宋_GB2312"/>
          <w:color w:val="444444"/>
          <w:sz w:val="32"/>
          <w:szCs w:val="32"/>
          <w:lang w:eastAsia="zh-CN"/>
        </w:rPr>
        <w:t>一、内置机构情况</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lang w:eastAsia="zh-CN"/>
        </w:rPr>
        <w:t>二</w:t>
      </w:r>
      <w:r>
        <w:rPr>
          <w:rFonts w:hint="eastAsia" w:ascii="仿宋_GB2312" w:hAnsi="微软雅黑" w:eastAsia="仿宋_GB2312" w:cs="仿宋_GB2312"/>
          <w:color w:val="444444"/>
          <w:sz w:val="32"/>
          <w:szCs w:val="32"/>
        </w:rPr>
        <w:t>、 主要职能</w:t>
      </w:r>
    </w:p>
    <w:p>
      <w:pPr>
        <w:pStyle w:val="7"/>
        <w:keepNext w:val="0"/>
        <w:keepLines w:val="0"/>
        <w:widowControl/>
        <w:suppressLineNumbers w:val="0"/>
        <w:spacing w:before="226" w:beforeAutospacing="0" w:after="0" w:afterAutospacing="0"/>
        <w:ind w:left="1320" w:right="0" w:hanging="1320"/>
        <w:jc w:val="left"/>
      </w:pPr>
      <w:r>
        <w:rPr>
          <w:rFonts w:hint="eastAsia" w:ascii="黑体" w:hAnsi="宋体" w:eastAsia="黑体" w:cs="黑体"/>
          <w:color w:val="444444"/>
          <w:sz w:val="32"/>
          <w:szCs w:val="32"/>
        </w:rPr>
        <w:t>第二部分 </w:t>
      </w:r>
      <w:r>
        <w:rPr>
          <w:rFonts w:hint="eastAsia" w:ascii="仿宋_GB2312" w:hAnsi="微软雅黑" w:eastAsia="仿宋_GB2312" w:cs="仿宋_GB2312"/>
          <w:color w:val="444444"/>
          <w:sz w:val="32"/>
          <w:szCs w:val="32"/>
        </w:rPr>
        <w:t>海口市农业技术推广中心2022年预算表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一、 财政拨款收支总表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二、 一般公共预算支出表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三、 一般公共预算基本支出表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四、 一般公共预算“三公”经费支出表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五、 政府性基金预算支出表。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六、 政府性基金预算“三公”经费支出表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七、 单位收支总表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八、 单位收入总表</w:t>
      </w:r>
    </w:p>
    <w:p>
      <w:pPr>
        <w:pStyle w:val="7"/>
        <w:keepNext w:val="0"/>
        <w:keepLines w:val="0"/>
        <w:widowControl/>
        <w:suppressLineNumbers w:val="0"/>
        <w:spacing w:before="226" w:beforeAutospacing="0" w:after="0" w:afterAutospacing="0"/>
        <w:ind w:left="720" w:right="0" w:hanging="720"/>
        <w:jc w:val="left"/>
      </w:pPr>
      <w:r>
        <w:rPr>
          <w:rFonts w:hint="eastAsia" w:ascii="仿宋_GB2312" w:hAnsi="微软雅黑" w:eastAsia="仿宋_GB2312" w:cs="仿宋_GB2312"/>
          <w:color w:val="444444"/>
          <w:sz w:val="32"/>
          <w:szCs w:val="32"/>
        </w:rPr>
        <w:t>九、 单位支出总表</w:t>
      </w:r>
    </w:p>
    <w:p>
      <w:pPr>
        <w:pStyle w:val="7"/>
        <w:keepNext w:val="0"/>
        <w:keepLines w:val="0"/>
        <w:widowControl/>
        <w:suppressLineNumbers w:val="0"/>
        <w:spacing w:before="226" w:beforeAutospacing="0" w:after="0" w:afterAutospacing="0"/>
        <w:ind w:left="720" w:right="0" w:hanging="720"/>
        <w:jc w:val="left"/>
        <w:rPr>
          <w:rFonts w:hint="eastAsia" w:eastAsia="仿宋_GB2312"/>
          <w:lang w:eastAsia="zh-CN"/>
        </w:rPr>
      </w:pPr>
      <w:r>
        <w:rPr>
          <w:rFonts w:hint="eastAsia" w:ascii="仿宋_GB2312" w:hAnsi="微软雅黑" w:eastAsia="仿宋_GB2312" w:cs="仿宋_GB2312"/>
          <w:color w:val="444444"/>
          <w:sz w:val="32"/>
          <w:szCs w:val="32"/>
        </w:rPr>
        <w:t>十、</w:t>
      </w:r>
      <w:r>
        <w:rPr>
          <w:rFonts w:hint="eastAsia" w:ascii="仿宋_GB2312" w:hAnsi="微软雅黑" w:eastAsia="仿宋_GB2312" w:cs="仿宋_GB2312"/>
          <w:color w:val="444444"/>
          <w:sz w:val="32"/>
          <w:szCs w:val="32"/>
          <w:lang w:eastAsia="zh-CN"/>
        </w:rPr>
        <w:t>预算绩效情况说明</w:t>
      </w:r>
    </w:p>
    <w:p>
      <w:pPr>
        <w:pStyle w:val="7"/>
        <w:keepNext w:val="0"/>
        <w:keepLines w:val="0"/>
        <w:widowControl/>
        <w:suppressLineNumbers w:val="0"/>
        <w:spacing w:before="226" w:beforeAutospacing="0" w:after="0" w:afterAutospacing="0"/>
        <w:ind w:left="1320" w:right="0" w:hanging="1320"/>
        <w:jc w:val="left"/>
      </w:pPr>
      <w:r>
        <w:rPr>
          <w:rFonts w:hint="eastAsia" w:ascii="黑体" w:hAnsi="宋体" w:eastAsia="黑体" w:cs="黑体"/>
          <w:color w:val="444444"/>
          <w:sz w:val="32"/>
          <w:szCs w:val="32"/>
        </w:rPr>
        <w:t>第三部分 </w:t>
      </w:r>
      <w:r>
        <w:rPr>
          <w:rFonts w:hint="eastAsia" w:ascii="仿宋_GB2312" w:hAnsi="微软雅黑" w:eastAsia="仿宋_GB2312" w:cs="仿宋_GB2312"/>
          <w:color w:val="444444"/>
          <w:sz w:val="32"/>
          <w:szCs w:val="32"/>
        </w:rPr>
        <w:t>海口市农业技术推广中心2022年预算情况说明</w:t>
      </w:r>
    </w:p>
    <w:p>
      <w:pPr>
        <w:pStyle w:val="7"/>
        <w:keepNext w:val="0"/>
        <w:keepLines w:val="0"/>
        <w:widowControl/>
        <w:suppressLineNumbers w:val="0"/>
        <w:spacing w:before="226" w:beforeAutospacing="0" w:after="0" w:afterAutospacing="0"/>
        <w:ind w:left="1320" w:right="0" w:hanging="1320"/>
        <w:jc w:val="left"/>
      </w:pPr>
      <w:r>
        <w:rPr>
          <w:rFonts w:hint="eastAsia" w:ascii="黑体" w:hAnsi="宋体" w:eastAsia="黑体" w:cs="黑体"/>
          <w:color w:val="444444"/>
          <w:sz w:val="32"/>
          <w:szCs w:val="32"/>
        </w:rPr>
        <w:t>第四部分 </w:t>
      </w:r>
      <w:r>
        <w:rPr>
          <w:rFonts w:hint="eastAsia" w:ascii="仿宋_GB2312" w:hAnsi="微软雅黑" w:eastAsia="仿宋_GB2312" w:cs="仿宋_GB2312"/>
          <w:color w:val="444444"/>
          <w:sz w:val="32"/>
          <w:szCs w:val="32"/>
        </w:rPr>
        <w:t>名词解释</w:t>
      </w:r>
    </w:p>
    <w:p>
      <w:pPr>
        <w:keepNext w:val="0"/>
        <w:keepLines w:val="0"/>
        <w:widowControl/>
        <w:suppressLineNumbers w:val="0"/>
        <w:spacing w:before="226" w:beforeAutospacing="0" w:after="0" w:afterAutospacing="0"/>
        <w:ind w:left="0" w:right="0"/>
        <w:jc w:val="left"/>
      </w:pPr>
      <w:r>
        <w:rPr>
          <w:rFonts w:hint="eastAsia" w:ascii="仿宋_GB2312" w:hAnsi="微软雅黑" w:eastAsia="仿宋_GB2312" w:cs="仿宋_GB2312"/>
          <w:color w:val="444444"/>
          <w:kern w:val="0"/>
          <w:sz w:val="32"/>
          <w:szCs w:val="32"/>
          <w:lang w:val="en-US" w:eastAsia="zh-CN" w:bidi="ar"/>
        </w:rPr>
        <w:t> </w:t>
      </w:r>
    </w:p>
    <w:p>
      <w:pPr>
        <w:pStyle w:val="7"/>
        <w:keepNext w:val="0"/>
        <w:keepLines w:val="0"/>
        <w:widowControl/>
        <w:suppressLineNumbers w:val="0"/>
        <w:spacing w:before="226" w:beforeAutospacing="0" w:after="0" w:afterAutospacing="0"/>
        <w:ind w:left="1320" w:right="0" w:hanging="1320"/>
        <w:jc w:val="center"/>
      </w:pPr>
      <w:r>
        <w:rPr>
          <w:rFonts w:hint="eastAsia" w:ascii="黑体" w:hAnsi="宋体" w:eastAsia="黑体" w:cs="黑体"/>
          <w:color w:val="444444"/>
          <w:sz w:val="32"/>
          <w:szCs w:val="32"/>
        </w:rPr>
        <w:t>第一部分 </w:t>
      </w:r>
      <w:r>
        <w:rPr>
          <w:rFonts w:hint="eastAsia" w:ascii="仿宋_GB2312" w:hAnsi="微软雅黑" w:eastAsia="仿宋_GB2312" w:cs="仿宋_GB2312"/>
          <w:color w:val="444444"/>
          <w:sz w:val="32"/>
          <w:szCs w:val="32"/>
        </w:rPr>
        <w:t>海口市农业技术推广中心概况</w:t>
      </w:r>
    </w:p>
    <w:p>
      <w:pPr>
        <w:pStyle w:val="7"/>
        <w:keepNext w:val="0"/>
        <w:keepLines w:val="0"/>
        <w:widowControl/>
        <w:numPr>
          <w:ilvl w:val="0"/>
          <w:numId w:val="1"/>
        </w:numPr>
        <w:suppressLineNumbers w:val="0"/>
        <w:spacing w:before="226" w:beforeAutospacing="0" w:after="0" w:afterAutospacing="0"/>
        <w:ind w:left="0" w:right="0" w:firstLine="640"/>
        <w:jc w:val="left"/>
        <w:rPr>
          <w:rFonts w:hint="eastAsia" w:ascii="仿宋_GB2312" w:hAnsi="微软雅黑" w:eastAsia="仿宋_GB2312" w:cs="仿宋_GB2312"/>
          <w:color w:val="444444"/>
          <w:sz w:val="32"/>
          <w:szCs w:val="32"/>
          <w:lang w:eastAsia="zh-CN"/>
        </w:rPr>
      </w:pPr>
      <w:r>
        <w:rPr>
          <w:rFonts w:hint="eastAsia" w:ascii="仿宋_GB2312" w:hAnsi="微软雅黑" w:eastAsia="仿宋_GB2312" w:cs="仿宋_GB2312"/>
          <w:color w:val="444444"/>
          <w:sz w:val="32"/>
          <w:szCs w:val="32"/>
          <w:lang w:eastAsia="zh-CN"/>
        </w:rPr>
        <w:t>内置机构情况</w:t>
      </w:r>
    </w:p>
    <w:p>
      <w:pPr>
        <w:pStyle w:val="7"/>
        <w:keepNext w:val="0"/>
        <w:keepLines w:val="0"/>
        <w:widowControl/>
        <w:numPr>
          <w:ilvl w:val="0"/>
          <w:numId w:val="0"/>
        </w:numPr>
        <w:suppressLineNumbers w:val="0"/>
        <w:spacing w:before="226" w:beforeAutospacing="0" w:after="0" w:afterAutospacing="0"/>
        <w:ind w:right="0" w:rightChars="0" w:firstLine="640" w:firstLineChars="200"/>
        <w:jc w:val="left"/>
        <w:rPr>
          <w:rFonts w:hint="eastAsia" w:ascii="仿宋" w:hAnsi="仿宋" w:eastAsia="仿宋" w:cs="仿宋"/>
          <w:color w:val="auto"/>
          <w:sz w:val="32"/>
          <w:szCs w:val="40"/>
          <w:lang w:eastAsia="zh-CN"/>
        </w:rPr>
      </w:pPr>
      <w:r>
        <w:rPr>
          <w:rFonts w:hint="eastAsia" w:ascii="仿宋" w:hAnsi="仿宋" w:eastAsia="仿宋" w:cs="仿宋"/>
          <w:color w:val="auto"/>
          <w:sz w:val="32"/>
          <w:szCs w:val="40"/>
        </w:rPr>
        <w:t>根据以上职责，海口市农业技术推广中心(海口市农业科学研究所、海口市热带作物服务中心</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rPr>
        <w:t>)内设6个正科级内设机构</w:t>
      </w:r>
      <w:r>
        <w:rPr>
          <w:rFonts w:hint="eastAsia" w:ascii="仿宋" w:hAnsi="仿宋" w:eastAsia="仿宋" w:cs="仿宋"/>
          <w:color w:val="auto"/>
          <w:sz w:val="32"/>
          <w:szCs w:val="40"/>
          <w:lang w:eastAsia="zh-CN"/>
        </w:rPr>
        <w:t>。</w:t>
      </w:r>
    </w:p>
    <w:p>
      <w:pPr>
        <w:pStyle w:val="7"/>
        <w:keepNext w:val="0"/>
        <w:keepLines w:val="0"/>
        <w:widowControl/>
        <w:numPr>
          <w:ilvl w:val="0"/>
          <w:numId w:val="0"/>
        </w:numPr>
        <w:suppressLineNumbers w:val="0"/>
        <w:spacing w:before="226" w:beforeAutospacing="0" w:after="0" w:afterAutospacing="0"/>
        <w:ind w:right="0" w:rightChars="0" w:firstLine="640" w:firstLineChars="200"/>
        <w:jc w:val="left"/>
        <w:rPr>
          <w:rFonts w:hint="eastAsia" w:ascii="仿宋" w:hAnsi="仿宋" w:eastAsia="仿宋" w:cs="仿宋"/>
          <w:color w:val="auto"/>
          <w:sz w:val="32"/>
          <w:szCs w:val="40"/>
        </w:rPr>
      </w:pPr>
      <w:r>
        <w:rPr>
          <w:rFonts w:hint="eastAsia" w:ascii="仿宋" w:hAnsi="仿宋" w:eastAsia="仿宋" w:cs="仿宋"/>
          <w:color w:val="auto"/>
          <w:sz w:val="32"/>
          <w:szCs w:val="40"/>
          <w:lang w:val="en-US" w:eastAsia="zh-CN"/>
        </w:rPr>
        <w:t>(一)</w:t>
      </w:r>
      <w:r>
        <w:rPr>
          <w:rFonts w:hint="eastAsia" w:ascii="仿宋" w:hAnsi="仿宋" w:eastAsia="仿宋" w:cs="仿宋"/>
          <w:color w:val="auto"/>
          <w:sz w:val="32"/>
          <w:szCs w:val="40"/>
        </w:rPr>
        <w:t>办公室</w:t>
      </w:r>
    </w:p>
    <w:p>
      <w:pPr>
        <w:pStyle w:val="7"/>
        <w:keepNext w:val="0"/>
        <w:keepLines w:val="0"/>
        <w:widowControl/>
        <w:numPr>
          <w:ilvl w:val="0"/>
          <w:numId w:val="0"/>
        </w:numPr>
        <w:suppressLineNumbers w:val="0"/>
        <w:spacing w:before="226" w:beforeAutospacing="0" w:after="0" w:afterAutospacing="0"/>
        <w:ind w:right="0" w:rightChars="0" w:firstLine="640" w:firstLineChars="200"/>
        <w:jc w:val="left"/>
        <w:rPr>
          <w:rFonts w:hint="eastAsia" w:ascii="仿宋" w:hAnsi="仿宋" w:eastAsia="仿宋" w:cs="仿宋"/>
          <w:color w:val="auto"/>
          <w:sz w:val="32"/>
          <w:szCs w:val="40"/>
        </w:rPr>
      </w:pPr>
      <w:r>
        <w:rPr>
          <w:rFonts w:hint="eastAsia" w:ascii="仿宋" w:hAnsi="仿宋" w:eastAsia="仿宋" w:cs="仿宋"/>
          <w:color w:val="auto"/>
          <w:sz w:val="32"/>
          <w:szCs w:val="40"/>
          <w:lang w:val="en-US" w:eastAsia="zh-CN"/>
        </w:rPr>
        <w:t>(二)</w:t>
      </w:r>
      <w:r>
        <w:rPr>
          <w:rFonts w:hint="eastAsia" w:ascii="仿宋" w:hAnsi="仿宋" w:eastAsia="仿宋" w:cs="仿宋"/>
          <w:color w:val="auto"/>
          <w:sz w:val="32"/>
          <w:szCs w:val="40"/>
        </w:rPr>
        <w:t>植物保护科</w:t>
      </w:r>
    </w:p>
    <w:p>
      <w:pPr>
        <w:pStyle w:val="7"/>
        <w:keepNext w:val="0"/>
        <w:keepLines w:val="0"/>
        <w:widowControl/>
        <w:numPr>
          <w:ilvl w:val="0"/>
          <w:numId w:val="0"/>
        </w:numPr>
        <w:suppressLineNumbers w:val="0"/>
        <w:spacing w:before="226" w:beforeAutospacing="0" w:after="0" w:afterAutospacing="0"/>
        <w:ind w:right="0" w:rightChars="0" w:firstLine="640" w:firstLineChars="200"/>
        <w:jc w:val="left"/>
        <w:rPr>
          <w:rFonts w:hint="eastAsia" w:ascii="仿宋" w:hAnsi="仿宋" w:eastAsia="仿宋" w:cs="仿宋"/>
          <w:color w:val="auto"/>
          <w:sz w:val="32"/>
          <w:szCs w:val="40"/>
        </w:rPr>
      </w:pPr>
      <w:r>
        <w:rPr>
          <w:rFonts w:hint="eastAsia" w:ascii="仿宋" w:hAnsi="仿宋" w:eastAsia="仿宋" w:cs="仿宋"/>
          <w:color w:val="auto"/>
          <w:sz w:val="32"/>
          <w:szCs w:val="40"/>
          <w:lang w:val="en-US" w:eastAsia="zh-CN"/>
        </w:rPr>
        <w:t>(三)</w:t>
      </w:r>
      <w:r>
        <w:rPr>
          <w:rFonts w:hint="eastAsia" w:ascii="仿宋" w:hAnsi="仿宋" w:eastAsia="仿宋" w:cs="仿宋"/>
          <w:color w:val="auto"/>
          <w:sz w:val="32"/>
          <w:szCs w:val="40"/>
        </w:rPr>
        <w:t>种子土肥管理科</w:t>
      </w:r>
    </w:p>
    <w:p>
      <w:pPr>
        <w:pStyle w:val="7"/>
        <w:keepNext w:val="0"/>
        <w:keepLines w:val="0"/>
        <w:widowControl/>
        <w:numPr>
          <w:ilvl w:val="0"/>
          <w:numId w:val="0"/>
        </w:numPr>
        <w:suppressLineNumbers w:val="0"/>
        <w:spacing w:before="226" w:beforeAutospacing="0" w:after="0" w:afterAutospacing="0"/>
        <w:ind w:right="0" w:rightChars="0" w:firstLine="640" w:firstLineChars="200"/>
        <w:jc w:val="left"/>
        <w:rPr>
          <w:rFonts w:hint="eastAsia" w:ascii="仿宋" w:hAnsi="仿宋" w:eastAsia="仿宋" w:cs="仿宋"/>
          <w:color w:val="auto"/>
          <w:sz w:val="32"/>
          <w:szCs w:val="40"/>
        </w:rPr>
      </w:pPr>
      <w:r>
        <w:rPr>
          <w:rFonts w:hint="eastAsia" w:ascii="仿宋" w:hAnsi="仿宋" w:eastAsia="仿宋" w:cs="仿宋"/>
          <w:color w:val="auto"/>
          <w:sz w:val="32"/>
          <w:szCs w:val="40"/>
          <w:lang w:val="en-US" w:eastAsia="zh-CN"/>
        </w:rPr>
        <w:t>(四)</w:t>
      </w:r>
      <w:r>
        <w:rPr>
          <w:rFonts w:hint="eastAsia" w:ascii="仿宋" w:hAnsi="仿宋" w:eastAsia="仿宋" w:cs="仿宋"/>
          <w:color w:val="auto"/>
          <w:sz w:val="32"/>
          <w:szCs w:val="40"/>
        </w:rPr>
        <w:t>农业技术推广科</w:t>
      </w:r>
    </w:p>
    <w:p>
      <w:pPr>
        <w:pStyle w:val="7"/>
        <w:keepNext w:val="0"/>
        <w:keepLines w:val="0"/>
        <w:widowControl/>
        <w:numPr>
          <w:ilvl w:val="0"/>
          <w:numId w:val="0"/>
        </w:numPr>
        <w:suppressLineNumbers w:val="0"/>
        <w:spacing w:before="226" w:beforeAutospacing="0" w:after="0" w:afterAutospacing="0"/>
        <w:ind w:right="0" w:rightChars="0" w:firstLine="640" w:firstLineChars="200"/>
        <w:jc w:val="left"/>
        <w:rPr>
          <w:rFonts w:hint="eastAsia" w:ascii="仿宋" w:hAnsi="仿宋" w:eastAsia="仿宋" w:cs="仿宋"/>
          <w:color w:val="auto"/>
          <w:sz w:val="32"/>
          <w:szCs w:val="40"/>
        </w:rPr>
      </w:pPr>
      <w:r>
        <w:rPr>
          <w:rFonts w:hint="eastAsia" w:ascii="仿宋" w:hAnsi="仿宋" w:eastAsia="仿宋" w:cs="仿宋"/>
          <w:color w:val="auto"/>
          <w:sz w:val="32"/>
          <w:szCs w:val="40"/>
          <w:lang w:val="en-US" w:eastAsia="zh-CN"/>
        </w:rPr>
        <w:t>(五)</w:t>
      </w:r>
      <w:r>
        <w:rPr>
          <w:rFonts w:hint="eastAsia" w:ascii="仿宋" w:hAnsi="仿宋" w:eastAsia="仿宋" w:cs="仿宋"/>
          <w:color w:val="auto"/>
          <w:sz w:val="32"/>
          <w:szCs w:val="40"/>
        </w:rPr>
        <w:t>农村环保能源管理科</w:t>
      </w:r>
    </w:p>
    <w:p>
      <w:pPr>
        <w:pStyle w:val="7"/>
        <w:keepNext w:val="0"/>
        <w:keepLines w:val="0"/>
        <w:widowControl/>
        <w:numPr>
          <w:ilvl w:val="0"/>
          <w:numId w:val="0"/>
        </w:numPr>
        <w:suppressLineNumbers w:val="0"/>
        <w:spacing w:before="226" w:beforeAutospacing="0" w:after="0" w:afterAutospacing="0"/>
        <w:ind w:right="0" w:rightChars="0" w:firstLine="640" w:firstLineChars="200"/>
        <w:jc w:val="left"/>
        <w:rPr>
          <w:rFonts w:hint="eastAsia" w:ascii="仿宋" w:hAnsi="仿宋" w:eastAsia="仿宋" w:cs="仿宋"/>
          <w:color w:val="auto"/>
          <w:sz w:val="32"/>
          <w:szCs w:val="40"/>
        </w:rPr>
      </w:pPr>
      <w:r>
        <w:rPr>
          <w:rFonts w:hint="eastAsia" w:ascii="仿宋" w:hAnsi="仿宋" w:eastAsia="仿宋" w:cs="仿宋"/>
          <w:color w:val="auto"/>
          <w:sz w:val="32"/>
          <w:szCs w:val="40"/>
          <w:lang w:val="en-US" w:eastAsia="zh-CN"/>
        </w:rPr>
        <w:t>(六)</w:t>
      </w:r>
      <w:r>
        <w:rPr>
          <w:rFonts w:hint="eastAsia" w:ascii="仿宋" w:hAnsi="仿宋" w:eastAsia="仿宋" w:cs="仿宋"/>
          <w:color w:val="auto"/>
          <w:sz w:val="32"/>
          <w:szCs w:val="40"/>
        </w:rPr>
        <w:t>农业科学研究科</w:t>
      </w:r>
    </w:p>
    <w:p>
      <w:pPr>
        <w:pStyle w:val="7"/>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sz w:val="32"/>
          <w:szCs w:val="32"/>
          <w:lang w:eastAsia="zh-CN"/>
        </w:rPr>
        <w:t>二、</w:t>
      </w:r>
      <w:r>
        <w:rPr>
          <w:rFonts w:hint="eastAsia" w:ascii="仿宋_GB2312" w:hAnsi="微软雅黑" w:eastAsia="仿宋_GB2312" w:cs="仿宋_GB2312"/>
          <w:color w:val="444444"/>
          <w:sz w:val="32"/>
          <w:szCs w:val="32"/>
        </w:rPr>
        <w:t>主要职能</w:t>
      </w:r>
    </w:p>
    <w:p>
      <w:pPr>
        <w:pStyle w:val="7"/>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sz w:val="32"/>
          <w:szCs w:val="32"/>
          <w:shd w:val="clear" w:fill="FFFFFF"/>
        </w:rPr>
        <w:t>1、根据《海口市机构编制委员会文件关于印发〈海口市农业技术推广中心(海口市农业科学研究院、海口市热带作物服务中心）机构编制方案〉的通知》（海编〔2015〕36号），制定本规定。海口市农业技术推广中心(海口市农业科学研究院、海口市热带作物服务中心）为副处级公益一类事业单位，隶属海口市农业局。</w:t>
      </w:r>
    </w:p>
    <w:p>
      <w:pPr>
        <w:pStyle w:val="7"/>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sz w:val="32"/>
          <w:szCs w:val="32"/>
          <w:shd w:val="clear" w:fill="FFFFFF"/>
        </w:rPr>
        <w:t>2、工作职责</w:t>
      </w:r>
    </w:p>
    <w:p>
      <w:pPr>
        <w:pStyle w:val="7"/>
        <w:keepNext w:val="0"/>
        <w:keepLines w:val="0"/>
        <w:widowControl/>
        <w:suppressLineNumbers w:val="0"/>
        <w:spacing w:before="226" w:beforeAutospacing="0" w:after="0" w:afterAutospacing="0"/>
        <w:ind w:left="108" w:right="214" w:firstLine="636"/>
        <w:jc w:val="left"/>
      </w:pPr>
      <w:r>
        <w:rPr>
          <w:rFonts w:hint="eastAsia" w:ascii="仿宋_GB2312" w:hAnsi="微软雅黑" w:eastAsia="仿宋_GB2312" w:cs="仿宋_GB2312"/>
          <w:color w:val="444444"/>
          <w:spacing w:val="-1"/>
          <w:sz w:val="32"/>
          <w:szCs w:val="32"/>
        </w:rPr>
        <w:t>（一）贯彻执行党和国家有关农业和农村经济发展的方针政策、法律法规规章；拟定并组织实施全市农业技术推广规划、计划。</w:t>
      </w:r>
    </w:p>
    <w:p>
      <w:pPr>
        <w:pStyle w:val="7"/>
        <w:keepNext w:val="0"/>
        <w:keepLines w:val="0"/>
        <w:widowControl/>
        <w:suppressLineNumbers w:val="0"/>
        <w:spacing w:before="226" w:beforeAutospacing="0" w:after="0" w:afterAutospacing="0"/>
        <w:ind w:left="108" w:right="214" w:firstLine="640"/>
        <w:jc w:val="left"/>
      </w:pPr>
      <w:r>
        <w:rPr>
          <w:rFonts w:hint="eastAsia" w:ascii="仿宋_GB2312" w:hAnsi="微软雅黑" w:eastAsia="仿宋_GB2312" w:cs="仿宋_GB2312"/>
          <w:color w:val="444444"/>
          <w:sz w:val="32"/>
          <w:szCs w:val="32"/>
        </w:rPr>
        <w:t>（二）负责全市农技推广体系建设，承担全市农业新技</w:t>
      </w:r>
      <w:r>
        <w:rPr>
          <w:rFonts w:hint="eastAsia" w:ascii="仿宋_GB2312" w:hAnsi="微软雅黑" w:eastAsia="仿宋_GB2312" w:cs="仿宋_GB2312"/>
          <w:color w:val="444444"/>
          <w:spacing w:val="-1"/>
          <w:sz w:val="32"/>
          <w:szCs w:val="32"/>
        </w:rPr>
        <w:t>术、新品种和新成果的引进、试验、示范、推广工作；负责全市农业科技信息的收集、整理、储存和传递。</w:t>
      </w:r>
    </w:p>
    <w:p>
      <w:pPr>
        <w:pStyle w:val="7"/>
        <w:keepNext w:val="0"/>
        <w:keepLines w:val="0"/>
        <w:widowControl/>
        <w:suppressLineNumbers w:val="0"/>
        <w:spacing w:before="226" w:beforeAutospacing="0" w:after="0" w:afterAutospacing="0"/>
        <w:ind w:left="108" w:right="214" w:firstLine="640"/>
        <w:jc w:val="left"/>
      </w:pPr>
      <w:r>
        <w:rPr>
          <w:rFonts w:hint="eastAsia" w:ascii="仿宋_GB2312" w:hAnsi="微软雅黑" w:eastAsia="仿宋_GB2312" w:cs="仿宋_GB2312"/>
          <w:color w:val="444444"/>
          <w:sz w:val="32"/>
          <w:szCs w:val="32"/>
        </w:rPr>
        <w:t>（三）负责全市农作物种植管理技术、病虫草鼠害的监</w:t>
      </w:r>
      <w:r>
        <w:rPr>
          <w:rFonts w:hint="eastAsia" w:ascii="仿宋_GB2312" w:hAnsi="微软雅黑" w:eastAsia="仿宋_GB2312" w:cs="仿宋_GB2312"/>
          <w:color w:val="444444"/>
          <w:spacing w:val="-1"/>
          <w:sz w:val="32"/>
          <w:szCs w:val="32"/>
        </w:rPr>
        <w:t>测、预报预警、信息发布、防治指导等工作；指导全市热带作物的生产及加工。</w:t>
      </w:r>
    </w:p>
    <w:p>
      <w:pPr>
        <w:pStyle w:val="7"/>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sz w:val="32"/>
          <w:szCs w:val="32"/>
        </w:rPr>
        <w:t>（四）负责全市农作物种子生产管理，负责全市农作物种子质量监督检验工作；承担全市耕地质量管理和土壤养分检测工作；组织实施生态农业和能源综合建设试点及技术推广；负责种子、土肥技术指导工作。</w:t>
      </w:r>
    </w:p>
    <w:p>
      <w:pPr>
        <w:pStyle w:val="7"/>
        <w:keepNext w:val="0"/>
        <w:keepLines w:val="0"/>
        <w:widowControl/>
        <w:suppressLineNumbers w:val="0"/>
        <w:spacing w:before="226" w:beforeAutospacing="0" w:after="0" w:afterAutospacing="0"/>
        <w:ind w:left="108" w:right="214" w:firstLine="640"/>
        <w:jc w:val="left"/>
      </w:pPr>
      <w:r>
        <w:rPr>
          <w:rFonts w:hint="eastAsia" w:ascii="仿宋_GB2312" w:hAnsi="微软雅黑" w:eastAsia="仿宋_GB2312" w:cs="仿宋_GB2312"/>
          <w:color w:val="444444"/>
          <w:sz w:val="32"/>
          <w:szCs w:val="32"/>
        </w:rPr>
        <w:t>（五）承担畜禽遗传资源的保护与开发利用工作，组织实施相关品种的初审、登记、引进、繁育、推广工作；承担牧草资源保护与开发管理工作；承担畜牧养殖环境监测与监督管理工作；指导全市畜产品加工工作。</w:t>
      </w:r>
    </w:p>
    <w:p>
      <w:pPr>
        <w:pStyle w:val="7"/>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sz w:val="32"/>
          <w:szCs w:val="32"/>
        </w:rPr>
        <w:t>（六）承办上级主管部门交办的其他工作。</w:t>
      </w:r>
    </w:p>
    <w:p>
      <w:pPr>
        <w:keepNext w:val="0"/>
        <w:keepLines w:val="0"/>
        <w:widowControl/>
        <w:suppressLineNumbers w:val="0"/>
        <w:spacing w:before="226" w:beforeAutospacing="0" w:after="0" w:afterAutospacing="0"/>
        <w:ind w:left="0" w:right="0"/>
        <w:jc w:val="center"/>
      </w:pPr>
      <w:r>
        <w:rPr>
          <w:rFonts w:hint="eastAsia" w:ascii="仿宋_GB2312" w:hAnsi="微软雅黑" w:eastAsia="仿宋_GB2312" w:cs="仿宋_GB2312"/>
          <w:b/>
          <w:color w:val="444444"/>
          <w:kern w:val="0"/>
          <w:sz w:val="32"/>
          <w:szCs w:val="32"/>
          <w:lang w:val="en-US" w:eastAsia="zh-CN" w:bidi="ar"/>
        </w:rPr>
        <w:t>第二部分</w:t>
      </w:r>
      <w:r>
        <w:rPr>
          <w:rFonts w:hint="eastAsia" w:ascii="仿宋_GB2312" w:hAnsi="微软雅黑" w:eastAsia="仿宋_GB2312" w:cs="仿宋_GB2312"/>
          <w:color w:val="444444"/>
          <w:kern w:val="0"/>
          <w:sz w:val="32"/>
          <w:szCs w:val="32"/>
          <w:lang w:val="en-US" w:eastAsia="zh-CN" w:bidi="ar"/>
        </w:rPr>
        <w:t>海口市农业技术推广中心2022年预算表</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详见附表：海口市农业技术推广中心2022年预算公开表</w:t>
      </w:r>
    </w:p>
    <w:p>
      <w:pPr>
        <w:keepNext w:val="0"/>
        <w:keepLines w:val="0"/>
        <w:widowControl/>
        <w:suppressLineNumbers w:val="0"/>
        <w:spacing w:before="226" w:beforeAutospacing="0" w:after="0" w:afterAutospacing="0"/>
        <w:ind w:left="0" w:right="0"/>
        <w:jc w:val="center"/>
      </w:pPr>
      <w:r>
        <w:rPr>
          <w:rFonts w:hint="eastAsia" w:ascii="仿宋_GB2312" w:hAnsi="微软雅黑" w:eastAsia="仿宋_GB2312" w:cs="仿宋_GB2312"/>
          <w:b/>
          <w:color w:val="444444"/>
          <w:kern w:val="0"/>
          <w:sz w:val="32"/>
          <w:szCs w:val="32"/>
          <w:lang w:val="en-US" w:eastAsia="zh-CN" w:bidi="ar"/>
        </w:rPr>
        <w:t>   第三部分</w:t>
      </w:r>
      <w:r>
        <w:rPr>
          <w:rFonts w:hint="eastAsia" w:ascii="仿宋_GB2312" w:hAnsi="微软雅黑" w:eastAsia="仿宋_GB2312" w:cs="仿宋_GB2312"/>
          <w:color w:val="444444"/>
          <w:kern w:val="0"/>
          <w:sz w:val="32"/>
          <w:szCs w:val="32"/>
          <w:lang w:val="en-US" w:eastAsia="zh-CN" w:bidi="ar"/>
        </w:rPr>
        <w:t>海口市农业技术推广中心2022年预算情况说明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一、关于海口市农业技术推广中心2022年财政拨款收支预算情况的总体说明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海口市农业技术推广中心2022年财政拨款收支总预算1411.79万元。其中，收入总计874.86万元，包括一般公共预算本年收入874.86万元、上年结转536.93万元，政府性基金预算本年收入0万元、上年结转0万元；支出总计1411.79万元，包括一般公共服务支出0万元、外交支出0万元、国防支出0万元，社会保障和就业支出109.01万元、卫生健康支出74.85万元、农林水支出1186.26万元、住房保障支出41.61万元、结转下年0万元。</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二、关于海口市农业技术推广中心2022年一般公共预算当年拨款情况说明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（一）一般公共预算当年规模变化情况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海口市农业技术推广中心2022年一般公共预算当年拨款874.86万元，比上年预算数增加87.15万元，主要是开展中央及省市下达的项目等。</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（二）一般公共预算当年拨款结构情况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一般公共服务（类）支出1147.48万元，占100%；外交（类）支出0万元，占0%；教育（类）支出0万元，占0%；科学技术（类）支出0万元，占0%；</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（三）一般公共预算当年拨款具体使用情况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1.一般公共服务（类）人大事务（款）行政运行（项）2022年预算数为0万元，比上年预算数增加/减少/持平0万元，主要是无。</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2.一般公共服务（类）人大事务（款）一般行政管理事务（项）2022年预算数为0万元，比上年预算数增加/减少/持平0万元，主要是无。</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3.社会保障和就业（类）行政事业单位养老支出（款）机关事业单位基本养老保险缴费支出（项）2022年预算数为66.21万元，与上年预算数持平。</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4.社会保障和就业（类）行政事业单位养老支出（款）其他行政事业单位养老支出（项）2022年预算数为35万元，与上年预算数持平。</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5.社会保障和就业（类）抚恤（款）其他优抚支出（项）2022年预算数为7.8万元，比上年预算数减少4.64万元，主要是符合标准的优抚对象减少。</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6.卫生健康支出（类）行政事业单位医疗（款）行政单位医疗（项）2022年预算数为39.68万元，与上年预算数持平。</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7.卫生健康支出（类）行政事业单位医疗（款）事业单位医疗（项）2022年预算数为35.17万元，与上年预算数持平。</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8.农林水支出（类）农业农村（款）事业运行（项）2022年预算数为776.14万元，比上年预算数增加261.74万元，主要是积极开展业务，项目数量增加，项目资金增加。</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9.农林水支出（类）农业农村（款）科技转化与推广（项）2022年预算数为45.5万元，与上年预算数持平。</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10.农林水支出（类）农业农村（款）病虫害控制（项）2022年预算数为305万元，比上年预算数增加213万元，主要是项目数量增加，项目资金增加</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11.农林水支出（类）农业农村（款）农业生产发展（项）2022年预算数为20.54万元，比上年预算数增加0万元，主要是结余结转。</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12.住房保障支出（类）住房改革支出（款）住房公积金（项）2022年预算数为</w:t>
      </w:r>
      <w:r>
        <w:rPr>
          <w:rFonts w:hint="eastAsia" w:ascii="仿宋_GB2312" w:hAnsi="微软雅黑" w:eastAsia="仿宋_GB2312" w:cs="仿宋_GB2312"/>
          <w:color w:val="444444"/>
          <w:kern w:val="0"/>
          <w:sz w:val="32"/>
          <w:szCs w:val="32"/>
          <w:shd w:val="clear" w:fill="FFFFFF"/>
          <w:lang w:val="en-US" w:eastAsia="zh-CN" w:bidi="ar"/>
        </w:rPr>
        <w:t>41.64万元，比上年预算数增加22.64万元，主要是人员数量增加。</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三、关于海口市农业技术推广中心2022年一般公共预算基本支出情况说明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海口市农业技术推广中心2022年一般公共预算基本支出为739.87万元，其中：</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人员经费675.81万元，主要包括：</w:t>
      </w:r>
      <w:r>
        <w:rPr>
          <w:rFonts w:hint="eastAsia" w:ascii="仿宋_GB2312" w:hAnsi="微软雅黑" w:eastAsia="仿宋_GB2312" w:cs="仿宋_GB2312"/>
          <w:color w:val="444444"/>
          <w:kern w:val="0"/>
          <w:sz w:val="32"/>
          <w:szCs w:val="32"/>
          <w:shd w:val="clear" w:fill="FFFFFF"/>
          <w:lang w:val="en-US" w:eastAsia="zh-CN" w:bidi="ar"/>
        </w:rPr>
        <w:t>基本工资、津贴补贴、奖金、机关事业单位基本养老保险缴费、城镇职工基本医疗保险缴费、公务员医疗补助缴费、其他社会保障缴费、住房公积金、对个人和家庭的补助等费用</w:t>
      </w:r>
      <w:r>
        <w:rPr>
          <w:rFonts w:hint="eastAsia" w:ascii="仿宋_GB2312" w:hAnsi="微软雅黑" w:eastAsia="仿宋_GB2312" w:cs="仿宋_GB2312"/>
          <w:color w:val="444444"/>
          <w:kern w:val="0"/>
          <w:sz w:val="32"/>
          <w:szCs w:val="32"/>
          <w:lang w:val="en-US" w:eastAsia="zh-CN" w:bidi="ar"/>
        </w:rPr>
        <w:t>;</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公用经费64.06万元，主要包括：</w:t>
      </w:r>
      <w:r>
        <w:rPr>
          <w:rFonts w:hint="eastAsia" w:ascii="仿宋_GB2312" w:hAnsi="微软雅黑" w:eastAsia="仿宋_GB2312" w:cs="仿宋_GB2312"/>
          <w:color w:val="444444"/>
          <w:kern w:val="0"/>
          <w:sz w:val="32"/>
          <w:szCs w:val="32"/>
          <w:shd w:val="clear" w:fill="FFFFFF"/>
          <w:lang w:val="en-US" w:eastAsia="zh-CN" w:bidi="ar"/>
        </w:rPr>
        <w:t>办公费、咨询费、手续费、水费、电费、培训费、车辆运行维护费、办公设备购置费等费用。</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shd w:val="clear" w:fill="FFFFFF"/>
          <w:lang w:val="en-US" w:eastAsia="zh-CN" w:bidi="ar"/>
        </w:rPr>
        <w:t>四、</w:t>
      </w:r>
      <w:r>
        <w:rPr>
          <w:rFonts w:hint="eastAsia" w:ascii="仿宋_GB2312" w:hAnsi="微软雅黑" w:eastAsia="仿宋_GB2312" w:cs="仿宋_GB2312"/>
          <w:color w:val="444444"/>
          <w:kern w:val="0"/>
          <w:sz w:val="32"/>
          <w:szCs w:val="32"/>
          <w:lang w:val="en-US" w:eastAsia="zh-CN" w:bidi="ar"/>
        </w:rPr>
        <w:t>海口市农业技术推广中心2022</w:t>
      </w:r>
      <w:r>
        <w:rPr>
          <w:rFonts w:hint="eastAsia" w:ascii="仿宋_GB2312" w:hAnsi="微软雅黑" w:eastAsia="仿宋_GB2312" w:cs="仿宋_GB2312"/>
          <w:color w:val="444444"/>
          <w:kern w:val="0"/>
          <w:sz w:val="32"/>
          <w:szCs w:val="32"/>
          <w:shd w:val="clear" w:fill="FFFFFF"/>
          <w:lang w:val="en-US" w:eastAsia="zh-CN" w:bidi="ar"/>
        </w:rPr>
        <w:t>年“三公”经费预算情况说明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（一）海口市农业技术推广中心2022年一般公共预算“三公”经费预算数为10.05万元，其中：</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shd w:val="clear" w:fill="FFFFFF"/>
          <w:lang w:val="en-US" w:eastAsia="zh-CN" w:bidi="ar"/>
        </w:rPr>
        <w:t>因公出国（境）经费</w:t>
      </w:r>
      <w:r>
        <w:rPr>
          <w:rFonts w:hint="eastAsia" w:ascii="仿宋_GB2312" w:hAnsi="微软雅黑" w:eastAsia="仿宋_GB2312" w:cs="仿宋_GB2312"/>
          <w:color w:val="444444"/>
          <w:kern w:val="0"/>
          <w:sz w:val="32"/>
          <w:szCs w:val="32"/>
          <w:lang w:val="en-US" w:eastAsia="zh-CN" w:bidi="ar"/>
        </w:rPr>
        <w:t>0万元</w:t>
      </w:r>
      <w:r>
        <w:rPr>
          <w:rFonts w:hint="eastAsia" w:ascii="仿宋_GB2312" w:hAnsi="微软雅黑" w:eastAsia="仿宋_GB2312" w:cs="仿宋_GB2312"/>
          <w:color w:val="444444"/>
          <w:kern w:val="0"/>
          <w:sz w:val="32"/>
          <w:szCs w:val="32"/>
          <w:shd w:val="clear" w:fill="FFFFFF"/>
          <w:lang w:val="en-US" w:eastAsia="zh-CN" w:bidi="ar"/>
        </w:rPr>
        <w:t>，与上年预算持平；公务用车购置及运行费</w:t>
      </w:r>
      <w:r>
        <w:rPr>
          <w:rFonts w:hint="eastAsia" w:ascii="仿宋_GB2312" w:hAnsi="微软雅黑" w:eastAsia="仿宋_GB2312" w:cs="仿宋_GB2312"/>
          <w:color w:val="444444"/>
          <w:kern w:val="0"/>
          <w:sz w:val="32"/>
          <w:szCs w:val="32"/>
          <w:lang w:val="en-US" w:eastAsia="zh-CN" w:bidi="ar"/>
        </w:rPr>
        <w:t>10.05万元（其中，</w:t>
      </w:r>
      <w:r>
        <w:rPr>
          <w:rFonts w:hint="eastAsia" w:ascii="仿宋_GB2312" w:hAnsi="微软雅黑" w:eastAsia="仿宋_GB2312" w:cs="仿宋_GB2312"/>
          <w:color w:val="444444"/>
          <w:kern w:val="0"/>
          <w:sz w:val="32"/>
          <w:szCs w:val="32"/>
          <w:shd w:val="clear" w:fill="FFFFFF"/>
          <w:lang w:val="en-US" w:eastAsia="zh-CN" w:bidi="ar"/>
        </w:rPr>
        <w:t>公务用车购置费</w:t>
      </w:r>
      <w:r>
        <w:rPr>
          <w:rFonts w:hint="eastAsia" w:ascii="仿宋_GB2312" w:hAnsi="微软雅黑" w:eastAsia="仿宋_GB2312" w:cs="仿宋_GB2312"/>
          <w:color w:val="444444"/>
          <w:kern w:val="0"/>
          <w:sz w:val="32"/>
          <w:szCs w:val="32"/>
          <w:lang w:val="en-US" w:eastAsia="zh-CN" w:bidi="ar"/>
        </w:rPr>
        <w:t>0万元</w:t>
      </w:r>
      <w:r>
        <w:rPr>
          <w:rFonts w:hint="eastAsia" w:ascii="仿宋_GB2312" w:hAnsi="微软雅黑" w:eastAsia="仿宋_GB2312" w:cs="仿宋_GB2312"/>
          <w:color w:val="444444"/>
          <w:kern w:val="0"/>
          <w:sz w:val="32"/>
          <w:szCs w:val="32"/>
          <w:shd w:val="clear" w:fill="FFFFFF"/>
          <w:lang w:val="en-US" w:eastAsia="zh-CN" w:bidi="ar"/>
        </w:rPr>
        <w:t>，公务用车运行费</w:t>
      </w:r>
      <w:r>
        <w:rPr>
          <w:rFonts w:hint="eastAsia" w:ascii="仿宋_GB2312" w:hAnsi="微软雅黑" w:eastAsia="仿宋_GB2312" w:cs="仿宋_GB2312"/>
          <w:color w:val="444444"/>
          <w:kern w:val="0"/>
          <w:sz w:val="32"/>
          <w:szCs w:val="32"/>
          <w:lang w:val="en-US" w:eastAsia="zh-CN" w:bidi="ar"/>
        </w:rPr>
        <w:t>10.05万元）</w:t>
      </w:r>
      <w:r>
        <w:rPr>
          <w:rFonts w:hint="eastAsia" w:ascii="仿宋_GB2312" w:hAnsi="微软雅黑" w:eastAsia="仿宋_GB2312" w:cs="仿宋_GB2312"/>
          <w:color w:val="444444"/>
          <w:kern w:val="0"/>
          <w:sz w:val="32"/>
          <w:szCs w:val="32"/>
          <w:shd w:val="clear" w:fill="FFFFFF"/>
          <w:lang w:val="en-US" w:eastAsia="zh-CN" w:bidi="ar"/>
        </w:rPr>
        <w:t>，与上年预算增长</w:t>
      </w:r>
      <w:r>
        <w:rPr>
          <w:rFonts w:hint="eastAsia" w:ascii="仿宋_GB2312" w:hAnsi="微软雅黑" w:eastAsia="仿宋_GB2312" w:cs="仿宋_GB2312"/>
          <w:color w:val="444444"/>
          <w:kern w:val="0"/>
          <w:sz w:val="32"/>
          <w:szCs w:val="32"/>
          <w:lang w:val="en-US" w:eastAsia="zh-CN" w:bidi="ar"/>
        </w:rPr>
        <w:t>24.85</w:t>
      </w:r>
      <w:r>
        <w:rPr>
          <w:rFonts w:hint="eastAsia" w:ascii="仿宋_GB2312" w:hAnsi="微软雅黑" w:eastAsia="仿宋_GB2312" w:cs="仿宋_GB2312"/>
          <w:color w:val="444444"/>
          <w:kern w:val="0"/>
          <w:sz w:val="32"/>
          <w:szCs w:val="32"/>
          <w:shd w:val="clear" w:fill="FFFFFF"/>
          <w:lang w:val="en-US" w:eastAsia="zh-CN" w:bidi="ar"/>
        </w:rPr>
        <w:t>%。</w:t>
      </w:r>
      <w:r>
        <w:rPr>
          <w:rFonts w:hint="eastAsia" w:ascii="仿宋_GB2312" w:hAnsi="微软雅黑" w:eastAsia="仿宋_GB2312" w:cs="仿宋_GB2312"/>
          <w:color w:val="444444"/>
          <w:kern w:val="0"/>
          <w:sz w:val="32"/>
          <w:szCs w:val="32"/>
          <w:lang w:val="en-US" w:eastAsia="zh-CN" w:bidi="ar"/>
        </w:rPr>
        <w:t>增长的</w:t>
      </w:r>
      <w:r>
        <w:rPr>
          <w:rFonts w:hint="eastAsia" w:ascii="仿宋_GB2312" w:hAnsi="微软雅黑" w:eastAsia="仿宋_GB2312" w:cs="仿宋_GB2312"/>
          <w:color w:val="444444"/>
          <w:kern w:val="0"/>
          <w:sz w:val="32"/>
          <w:szCs w:val="32"/>
          <w:shd w:val="clear" w:fill="FFFFFF"/>
          <w:lang w:val="en-US" w:eastAsia="zh-CN" w:bidi="ar"/>
        </w:rPr>
        <w:t>主要原因包括：车辆定编财政拨款。公务车保有量</w:t>
      </w:r>
      <w:r>
        <w:rPr>
          <w:rFonts w:hint="eastAsia" w:ascii="仿宋_GB2312" w:hAnsi="微软雅黑" w:eastAsia="仿宋_GB2312" w:cs="仿宋_GB2312"/>
          <w:color w:val="444444"/>
          <w:kern w:val="0"/>
          <w:sz w:val="32"/>
          <w:szCs w:val="32"/>
          <w:lang w:val="en-US" w:eastAsia="zh-CN" w:bidi="ar"/>
        </w:rPr>
        <w:t>3辆，计划购置0辆</w:t>
      </w:r>
      <w:r>
        <w:rPr>
          <w:rFonts w:hint="eastAsia" w:ascii="仿宋_GB2312" w:hAnsi="微软雅黑" w:eastAsia="仿宋_GB2312" w:cs="仿宋_GB2312"/>
          <w:color w:val="444444"/>
          <w:kern w:val="0"/>
          <w:sz w:val="32"/>
          <w:szCs w:val="32"/>
          <w:shd w:val="clear" w:fill="FFFFFF"/>
          <w:lang w:val="en-US" w:eastAsia="zh-CN" w:bidi="ar"/>
        </w:rPr>
        <w:t>；</w:t>
      </w:r>
      <w:r>
        <w:rPr>
          <w:rFonts w:hint="eastAsia" w:ascii="仿宋_GB2312" w:hAnsi="微软雅黑" w:eastAsia="仿宋_GB2312" w:cs="仿宋_GB2312"/>
          <w:color w:val="444444"/>
          <w:kern w:val="0"/>
          <w:sz w:val="32"/>
          <w:szCs w:val="32"/>
          <w:lang w:val="en-US" w:eastAsia="zh-CN" w:bidi="ar"/>
        </w:rPr>
        <w:t>公务接待费0</w:t>
      </w:r>
      <w:r>
        <w:rPr>
          <w:rFonts w:hint="eastAsia" w:ascii="仿宋_GB2312" w:hAnsi="微软雅黑" w:eastAsia="仿宋_GB2312" w:cs="仿宋_GB2312"/>
          <w:color w:val="444444"/>
          <w:kern w:val="0"/>
          <w:sz w:val="32"/>
          <w:szCs w:val="32"/>
          <w:shd w:val="clear" w:fill="FFFFFF"/>
          <w:lang w:val="en-US" w:eastAsia="zh-CN" w:bidi="ar"/>
        </w:rPr>
        <w:t>万元，与上年预算下降100%。</w:t>
      </w:r>
      <w:r>
        <w:rPr>
          <w:rFonts w:hint="eastAsia" w:ascii="仿宋_GB2312" w:hAnsi="微软雅黑" w:eastAsia="仿宋_GB2312" w:cs="仿宋_GB2312"/>
          <w:color w:val="444444"/>
          <w:kern w:val="0"/>
          <w:sz w:val="32"/>
          <w:szCs w:val="32"/>
          <w:lang w:val="en-US" w:eastAsia="zh-CN" w:bidi="ar"/>
        </w:rPr>
        <w:t>下降的</w:t>
      </w:r>
      <w:r>
        <w:rPr>
          <w:rFonts w:hint="eastAsia" w:ascii="仿宋_GB2312" w:hAnsi="微软雅黑" w:eastAsia="仿宋_GB2312" w:cs="仿宋_GB2312"/>
          <w:color w:val="444444"/>
          <w:kern w:val="0"/>
          <w:sz w:val="32"/>
          <w:szCs w:val="32"/>
          <w:shd w:val="clear" w:fill="FFFFFF"/>
          <w:lang w:val="en-US" w:eastAsia="zh-CN" w:bidi="ar"/>
        </w:rPr>
        <w:t>主要原因不安排接待人员，计划接待</w:t>
      </w:r>
      <w:r>
        <w:rPr>
          <w:rFonts w:hint="eastAsia" w:ascii="仿宋_GB2312" w:hAnsi="微软雅黑" w:eastAsia="仿宋_GB2312" w:cs="仿宋_GB2312"/>
          <w:color w:val="444444"/>
          <w:kern w:val="0"/>
          <w:sz w:val="32"/>
          <w:szCs w:val="32"/>
          <w:lang w:val="en-US" w:eastAsia="zh-CN" w:bidi="ar"/>
        </w:rPr>
        <w:t>0批0人</w:t>
      </w:r>
      <w:r>
        <w:rPr>
          <w:rFonts w:hint="eastAsia" w:ascii="仿宋_GB2312" w:hAnsi="微软雅黑" w:eastAsia="仿宋_GB2312" w:cs="仿宋_GB2312"/>
          <w:color w:val="444444"/>
          <w:kern w:val="0"/>
          <w:sz w:val="32"/>
          <w:szCs w:val="32"/>
          <w:shd w:val="clear" w:fill="FFFFFF"/>
          <w:lang w:val="en-US" w:eastAsia="zh-CN" w:bidi="ar"/>
        </w:rPr>
        <w:t>。</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（二）海口市农业技术推广中心2022年政府性基金预算“三公”经费预算数为0万元，其中：</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shd w:val="clear" w:fill="FFFFFF"/>
          <w:lang w:val="en-US" w:eastAsia="zh-CN" w:bidi="ar"/>
        </w:rPr>
        <w:t>因公出国（境）经费</w:t>
      </w:r>
      <w:r>
        <w:rPr>
          <w:rFonts w:hint="eastAsia" w:ascii="仿宋_GB2312" w:hAnsi="微软雅黑" w:eastAsia="仿宋_GB2312" w:cs="仿宋_GB2312"/>
          <w:color w:val="444444"/>
          <w:kern w:val="0"/>
          <w:sz w:val="32"/>
          <w:szCs w:val="32"/>
          <w:lang w:val="en-US" w:eastAsia="zh-CN" w:bidi="ar"/>
        </w:rPr>
        <w:t>0万元</w:t>
      </w:r>
      <w:r>
        <w:rPr>
          <w:rFonts w:hint="eastAsia" w:ascii="仿宋_GB2312" w:hAnsi="微软雅黑" w:eastAsia="仿宋_GB2312" w:cs="仿宋_GB2312"/>
          <w:color w:val="444444"/>
          <w:kern w:val="0"/>
          <w:sz w:val="32"/>
          <w:szCs w:val="32"/>
          <w:shd w:val="clear" w:fill="FFFFFF"/>
          <w:lang w:val="en-US" w:eastAsia="zh-CN" w:bidi="ar"/>
        </w:rPr>
        <w:t>，与上年预算持。公务用车购置及运行费</w:t>
      </w:r>
      <w:r>
        <w:rPr>
          <w:rFonts w:hint="eastAsia" w:ascii="仿宋_GB2312" w:hAnsi="微软雅黑" w:eastAsia="仿宋_GB2312" w:cs="仿宋_GB2312"/>
          <w:color w:val="444444"/>
          <w:kern w:val="0"/>
          <w:sz w:val="32"/>
          <w:szCs w:val="32"/>
          <w:lang w:val="en-US" w:eastAsia="zh-CN" w:bidi="ar"/>
        </w:rPr>
        <w:t>0万元（其中，</w:t>
      </w:r>
      <w:r>
        <w:rPr>
          <w:rFonts w:hint="eastAsia" w:ascii="仿宋_GB2312" w:hAnsi="微软雅黑" w:eastAsia="仿宋_GB2312" w:cs="仿宋_GB2312"/>
          <w:color w:val="444444"/>
          <w:kern w:val="0"/>
          <w:sz w:val="32"/>
          <w:szCs w:val="32"/>
          <w:shd w:val="clear" w:fill="FFFFFF"/>
          <w:lang w:val="en-US" w:eastAsia="zh-CN" w:bidi="ar"/>
        </w:rPr>
        <w:t>公务用车购置费</w:t>
      </w:r>
      <w:r>
        <w:rPr>
          <w:rFonts w:hint="eastAsia" w:ascii="仿宋_GB2312" w:hAnsi="微软雅黑" w:eastAsia="仿宋_GB2312" w:cs="仿宋_GB2312"/>
          <w:color w:val="444444"/>
          <w:kern w:val="0"/>
          <w:sz w:val="32"/>
          <w:szCs w:val="32"/>
          <w:lang w:val="en-US" w:eastAsia="zh-CN" w:bidi="ar"/>
        </w:rPr>
        <w:t>0万元</w:t>
      </w:r>
      <w:r>
        <w:rPr>
          <w:rFonts w:hint="eastAsia" w:ascii="仿宋_GB2312" w:hAnsi="微软雅黑" w:eastAsia="仿宋_GB2312" w:cs="仿宋_GB2312"/>
          <w:color w:val="444444"/>
          <w:kern w:val="0"/>
          <w:sz w:val="32"/>
          <w:szCs w:val="32"/>
          <w:shd w:val="clear" w:fill="FFFFFF"/>
          <w:lang w:val="en-US" w:eastAsia="zh-CN" w:bidi="ar"/>
        </w:rPr>
        <w:t>，公务用车运行费</w:t>
      </w:r>
      <w:r>
        <w:rPr>
          <w:rFonts w:hint="eastAsia" w:ascii="仿宋_GB2312" w:hAnsi="微软雅黑" w:eastAsia="仿宋_GB2312" w:cs="仿宋_GB2312"/>
          <w:color w:val="444444"/>
          <w:kern w:val="0"/>
          <w:sz w:val="32"/>
          <w:szCs w:val="32"/>
          <w:lang w:val="en-US" w:eastAsia="zh-CN" w:bidi="ar"/>
        </w:rPr>
        <w:t>0万元）</w:t>
      </w:r>
      <w:r>
        <w:rPr>
          <w:rFonts w:hint="eastAsia" w:ascii="仿宋_GB2312" w:hAnsi="微软雅黑" w:eastAsia="仿宋_GB2312" w:cs="仿宋_GB2312"/>
          <w:color w:val="444444"/>
          <w:kern w:val="0"/>
          <w:sz w:val="32"/>
          <w:szCs w:val="32"/>
          <w:shd w:val="clear" w:fill="FFFFFF"/>
          <w:lang w:val="en-US" w:eastAsia="zh-CN" w:bidi="ar"/>
        </w:rPr>
        <w:t>，与上年预算持平；公务车保有量</w:t>
      </w:r>
      <w:r>
        <w:rPr>
          <w:rFonts w:hint="eastAsia" w:ascii="仿宋_GB2312" w:hAnsi="微软雅黑" w:eastAsia="仿宋_GB2312" w:cs="仿宋_GB2312"/>
          <w:color w:val="444444"/>
          <w:kern w:val="0"/>
          <w:sz w:val="32"/>
          <w:szCs w:val="32"/>
          <w:lang w:val="en-US" w:eastAsia="zh-CN" w:bidi="ar"/>
        </w:rPr>
        <w:t>0辆，计划购置0辆</w:t>
      </w:r>
      <w:r>
        <w:rPr>
          <w:rFonts w:hint="eastAsia" w:ascii="仿宋_GB2312" w:hAnsi="微软雅黑" w:eastAsia="仿宋_GB2312" w:cs="仿宋_GB2312"/>
          <w:color w:val="444444"/>
          <w:kern w:val="0"/>
          <w:sz w:val="32"/>
          <w:szCs w:val="32"/>
          <w:shd w:val="clear" w:fill="FFFFFF"/>
          <w:lang w:val="en-US" w:eastAsia="zh-CN" w:bidi="ar"/>
        </w:rPr>
        <w:t>。</w:t>
      </w:r>
      <w:r>
        <w:rPr>
          <w:rFonts w:hint="eastAsia" w:ascii="仿宋_GB2312" w:hAnsi="微软雅黑" w:eastAsia="仿宋_GB2312" w:cs="仿宋_GB2312"/>
          <w:color w:val="444444"/>
          <w:kern w:val="0"/>
          <w:sz w:val="32"/>
          <w:szCs w:val="32"/>
          <w:lang w:val="en-US" w:eastAsia="zh-CN" w:bidi="ar"/>
        </w:rPr>
        <w:t>公务接待费0</w:t>
      </w:r>
      <w:r>
        <w:rPr>
          <w:rFonts w:hint="eastAsia" w:ascii="仿宋_GB2312" w:hAnsi="微软雅黑" w:eastAsia="仿宋_GB2312" w:cs="仿宋_GB2312"/>
          <w:color w:val="444444"/>
          <w:kern w:val="0"/>
          <w:sz w:val="32"/>
          <w:szCs w:val="32"/>
          <w:shd w:val="clear" w:fill="FFFFFF"/>
          <w:lang w:val="en-US" w:eastAsia="zh-CN" w:bidi="ar"/>
        </w:rPr>
        <w:t>元，与上年预算持平。计划接待</w:t>
      </w:r>
      <w:r>
        <w:rPr>
          <w:rFonts w:hint="eastAsia" w:ascii="仿宋_GB2312" w:hAnsi="微软雅黑" w:eastAsia="仿宋_GB2312" w:cs="仿宋_GB2312"/>
          <w:color w:val="444444"/>
          <w:kern w:val="0"/>
          <w:sz w:val="32"/>
          <w:szCs w:val="32"/>
          <w:lang w:val="en-US" w:eastAsia="zh-CN" w:bidi="ar"/>
        </w:rPr>
        <w:t>0批0人</w:t>
      </w:r>
      <w:r>
        <w:rPr>
          <w:rFonts w:hint="eastAsia" w:ascii="仿宋_GB2312" w:hAnsi="微软雅黑" w:eastAsia="仿宋_GB2312" w:cs="仿宋_GB2312"/>
          <w:color w:val="444444"/>
          <w:kern w:val="0"/>
          <w:sz w:val="32"/>
          <w:szCs w:val="32"/>
          <w:shd w:val="clear" w:fill="FFFFFF"/>
          <w:lang w:val="en-US" w:eastAsia="zh-CN" w:bidi="ar"/>
        </w:rPr>
        <w:t>。</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shd w:val="clear" w:fill="FFFFFF"/>
          <w:lang w:val="en-US" w:eastAsia="zh-CN" w:bidi="ar"/>
        </w:rPr>
        <w:t>五、关于</w:t>
      </w:r>
      <w:r>
        <w:rPr>
          <w:rFonts w:hint="eastAsia" w:ascii="仿宋_GB2312" w:hAnsi="微软雅黑" w:eastAsia="仿宋_GB2312" w:cs="仿宋_GB2312"/>
          <w:color w:val="444444"/>
          <w:kern w:val="0"/>
          <w:sz w:val="32"/>
          <w:szCs w:val="32"/>
          <w:lang w:val="en-US" w:eastAsia="zh-CN" w:bidi="ar"/>
        </w:rPr>
        <w:t>海口市农业技术推广中心2022</w:t>
      </w:r>
      <w:r>
        <w:rPr>
          <w:rFonts w:hint="eastAsia" w:ascii="仿宋_GB2312" w:hAnsi="微软雅黑" w:eastAsia="仿宋_GB2312" w:cs="仿宋_GB2312"/>
          <w:color w:val="444444"/>
          <w:kern w:val="0"/>
          <w:sz w:val="32"/>
          <w:szCs w:val="32"/>
          <w:shd w:val="clear" w:fill="FFFFFF"/>
          <w:lang w:val="en-US" w:eastAsia="zh-CN" w:bidi="ar"/>
        </w:rPr>
        <w:t>年政府性基金预算当年拨款情况说明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（一）政府性基金预算当年规模变化情况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海口市农业技术推广中心2022年政府性基金预算当年拨款0万元，比上年预算数持平0万元。</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（二）政府性基金预算当年拨款结构情况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科学技术支出（类）支出0万元，占0%；文化体育与传媒支出（类）支0万元，占0%；社会保障和就业支出（类）支出0万元，占0%；节能环保（类）支出0万元，占0%；。</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（三）政府性基金预算当年拨款具体使用情况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1.科学技术支出（类）核电站乏燃料处理处置基金支出（款）乏燃料运输（项）2022年预算数为0万元，比上年预算数持平0万元。</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2.科学技术支出（类）核电站乏燃料处理处置基金支出（款）乏燃料离堆贮存（项）2022年预算数为0万元，比上年预算数持平0万元。</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shd w:val="clear" w:fill="FFFFFF"/>
          <w:lang w:val="en-US" w:eastAsia="zh-CN" w:bidi="ar"/>
        </w:rPr>
        <w:t>六、关于</w:t>
      </w:r>
      <w:r>
        <w:rPr>
          <w:rFonts w:hint="eastAsia" w:ascii="仿宋_GB2312" w:hAnsi="微软雅黑" w:eastAsia="仿宋_GB2312" w:cs="仿宋_GB2312"/>
          <w:color w:val="444444"/>
          <w:kern w:val="0"/>
          <w:sz w:val="32"/>
          <w:szCs w:val="32"/>
          <w:lang w:val="en-US" w:eastAsia="zh-CN" w:bidi="ar"/>
        </w:rPr>
        <w:t>海口市农业技术推广中心2022</w:t>
      </w:r>
      <w:r>
        <w:rPr>
          <w:rFonts w:hint="eastAsia" w:ascii="仿宋_GB2312" w:hAnsi="微软雅黑" w:eastAsia="仿宋_GB2312" w:cs="仿宋_GB2312"/>
          <w:color w:val="444444"/>
          <w:kern w:val="0"/>
          <w:sz w:val="32"/>
          <w:szCs w:val="32"/>
          <w:shd w:val="clear" w:fill="FFFFFF"/>
          <w:lang w:val="en-US" w:eastAsia="zh-CN" w:bidi="ar"/>
        </w:rPr>
        <w:t>年收支预算情况的总体说明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按照综合预算原则，海口市农业技术推广中心所有收入和支出均纳入部门预算管理。收入包括：一般公共预算收入、政府性基金收入、其他财政资金收入、事业收入、；支出包括：一般公共服务支出、社会保障和就业支出、农林水支出、住房保障支出、卫生健康支出等。海口市农业技术推广中心2022年收支总预算1411.79万元。</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shd w:val="clear" w:fill="FFFFFF"/>
          <w:lang w:val="en-US" w:eastAsia="zh-CN" w:bidi="ar"/>
        </w:rPr>
        <w:t>七、关于</w:t>
      </w:r>
      <w:r>
        <w:rPr>
          <w:rFonts w:hint="eastAsia" w:ascii="仿宋_GB2312" w:hAnsi="微软雅黑" w:eastAsia="仿宋_GB2312" w:cs="仿宋_GB2312"/>
          <w:color w:val="444444"/>
          <w:kern w:val="0"/>
          <w:sz w:val="32"/>
          <w:szCs w:val="32"/>
          <w:lang w:val="en-US" w:eastAsia="zh-CN" w:bidi="ar"/>
        </w:rPr>
        <w:t>海口市农业技术推广中心2022</w:t>
      </w:r>
      <w:r>
        <w:rPr>
          <w:rFonts w:hint="eastAsia" w:ascii="仿宋_GB2312" w:hAnsi="微软雅黑" w:eastAsia="仿宋_GB2312" w:cs="仿宋_GB2312"/>
          <w:color w:val="444444"/>
          <w:kern w:val="0"/>
          <w:sz w:val="32"/>
          <w:szCs w:val="32"/>
          <w:shd w:val="clear" w:fill="FFFFFF"/>
          <w:lang w:val="en-US" w:eastAsia="zh-CN" w:bidi="ar"/>
        </w:rPr>
        <w:t>年收入预算情况说明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海口市农业技术推广中心2022年收入预算1411.79万元，其中：上年结转536.93万元，占38.04%；</w:t>
      </w:r>
      <w:r>
        <w:rPr>
          <w:rFonts w:hint="eastAsia" w:ascii="仿宋_GB2312" w:hAnsi="微软雅黑" w:eastAsia="仿宋_GB2312" w:cs="仿宋_GB2312"/>
          <w:color w:val="444444"/>
          <w:kern w:val="0"/>
          <w:sz w:val="32"/>
          <w:szCs w:val="32"/>
          <w:shd w:val="clear" w:fill="FFFFFF"/>
          <w:lang w:val="en-US" w:eastAsia="zh-CN" w:bidi="ar"/>
        </w:rPr>
        <w:t>一般公共预算</w:t>
      </w:r>
      <w:r>
        <w:rPr>
          <w:rFonts w:hint="eastAsia" w:ascii="仿宋_GB2312" w:hAnsi="微软雅黑" w:eastAsia="仿宋_GB2312" w:cs="仿宋_GB2312"/>
          <w:color w:val="444444"/>
          <w:kern w:val="0"/>
          <w:sz w:val="32"/>
          <w:szCs w:val="32"/>
          <w:lang w:val="en-US" w:eastAsia="zh-CN" w:bidi="ar"/>
        </w:rPr>
        <w:t>收入874.86万元，占61.96%；政府性基金收入0元，占0%；专项收入0万元，占0%。比上年预算数增加187万元，主要开展中央及省市下达的项目。</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shd w:val="clear" w:fill="FFFFFF"/>
          <w:lang w:val="en-US" w:eastAsia="zh-CN" w:bidi="ar"/>
        </w:rPr>
        <w:t>八、关于</w:t>
      </w:r>
      <w:r>
        <w:rPr>
          <w:rFonts w:hint="eastAsia" w:ascii="仿宋_GB2312" w:hAnsi="微软雅黑" w:eastAsia="仿宋_GB2312" w:cs="仿宋_GB2312"/>
          <w:color w:val="444444"/>
          <w:kern w:val="0"/>
          <w:sz w:val="32"/>
          <w:szCs w:val="32"/>
          <w:lang w:val="en-US" w:eastAsia="zh-CN" w:bidi="ar"/>
        </w:rPr>
        <w:t>海口市农业技术推广中心2022</w:t>
      </w:r>
      <w:r>
        <w:rPr>
          <w:rFonts w:hint="eastAsia" w:ascii="仿宋_GB2312" w:hAnsi="微软雅黑" w:eastAsia="仿宋_GB2312" w:cs="仿宋_GB2312"/>
          <w:color w:val="444444"/>
          <w:kern w:val="0"/>
          <w:sz w:val="32"/>
          <w:szCs w:val="32"/>
          <w:shd w:val="clear" w:fill="FFFFFF"/>
          <w:lang w:val="en-US" w:eastAsia="zh-CN" w:bidi="ar"/>
        </w:rPr>
        <w:t>年支出预算情况说明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海口市农业技术推广中心2022年支出预算1411.72万元，其中：基本支出739.87万元，占52.41%；项目支出671.86万元，占47.59%。比上年预算数增加624.01万元，主要是开展中央及省市下达的项目。</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shd w:val="clear" w:fill="FFFFFF"/>
          <w:lang w:val="en-US" w:eastAsia="zh-CN" w:bidi="ar"/>
        </w:rPr>
        <w:t>九、其他重要事项的情况说明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（一）机关运行经费（行政单位、参照公务员法管理的事业单位需说明，其他单位不需要说明）</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2022年海口市农业技术推广中心（公开部门预算时罗列下属参照公务员法管理的事业单位）等的机关运行经费预算0万元。</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（二）政府采购情况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2022年海口市农业技术推广中心政府采购预算总额0万元，其中：政府采购货物预算0万元，政府采购工程预算0万元，政府采购服务预算0万元。</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（三）国有资产占有使用情况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截至2021年12月31日，海口市农业技术推广中心单位共有车辆2辆，其中，领导干部用车0辆，机要通信应急用车0辆、一般执法执勤用车0辆、特种专业技术用车2辆、其他用车0辆。单位价值100万元以上设备0台（套）。</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（四）绩效目标设置情况</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2022年海口市农业技术推广中心16个项目实行绩效目标管理，涉及一般公共预算1147.48万元、政府性基金0万元。</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b w:val="0"/>
          <w:bCs w:val="0"/>
          <w:color w:val="444444"/>
          <w:kern w:val="0"/>
          <w:sz w:val="32"/>
          <w:szCs w:val="32"/>
          <w:lang w:val="en-US" w:eastAsia="zh-CN" w:bidi="ar"/>
        </w:rPr>
      </w:pPr>
      <w:r>
        <w:rPr>
          <w:rFonts w:hint="eastAsia" w:ascii="仿宋_GB2312" w:hAnsi="微软雅黑" w:eastAsia="仿宋_GB2312" w:cs="仿宋_GB2312"/>
          <w:b w:val="0"/>
          <w:bCs w:val="0"/>
          <w:color w:val="444444"/>
          <w:kern w:val="0"/>
          <w:sz w:val="32"/>
          <w:szCs w:val="32"/>
          <w:lang w:val="en-US" w:eastAsia="zh-CN" w:bidi="ar"/>
        </w:rPr>
        <w:t>十、预算绩效情况说明</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(一)绩效管理工作开展情况。</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根据财政预算管理要求，我部门(单位)组织对2021年度一般公共预算项目支出全面开展绩效自评。自评项目0个，共涉及资金0.00万元，自评覆盖率达到0.00%。</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本年没有进行一般公共预算项目支出开展绩效自评相关工作是因为我单位没有五百万以上项目支出。</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部门决算中项目绩效自评结果。(如有)</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我部门(单位)今年在省本级部门决算中反映0个项目绩效自评结果。</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(三)财政评价项目绩效评价结果(如有)。</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无。</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(四)部门评价项目绩效评价结果。</w:t>
      </w:r>
    </w:p>
    <w:p>
      <w:pPr>
        <w:keepNext w:val="0"/>
        <w:keepLines w:val="0"/>
        <w:widowControl/>
        <w:suppressLineNumbers w:val="0"/>
        <w:spacing w:before="226" w:beforeAutospacing="0" w:after="0" w:afterAutospacing="0"/>
        <w:ind w:left="0" w:right="0" w:firstLine="640"/>
        <w:jc w:val="left"/>
        <w:rPr>
          <w:rFonts w:hint="eastAsia" w:ascii="仿宋_GB2312" w:hAnsi="微软雅黑" w:eastAsia="仿宋_GB2312" w:cs="仿宋_GB2312"/>
          <w:color w:val="444444"/>
          <w:kern w:val="0"/>
          <w:sz w:val="32"/>
          <w:szCs w:val="32"/>
          <w:lang w:val="en-US" w:eastAsia="zh-CN" w:bidi="ar"/>
        </w:rPr>
      </w:pPr>
      <w:r>
        <w:rPr>
          <w:rFonts w:hint="eastAsia" w:ascii="仿宋_GB2312" w:hAnsi="微软雅黑" w:eastAsia="仿宋_GB2312" w:cs="仿宋_GB2312"/>
          <w:color w:val="444444"/>
          <w:kern w:val="0"/>
          <w:sz w:val="32"/>
          <w:szCs w:val="32"/>
          <w:lang w:val="en-US" w:eastAsia="zh-CN" w:bidi="ar"/>
        </w:rPr>
        <w:t>我单位“农业技术推广与创新”资金项目和动植物防疫检疫</w:t>
      </w:r>
      <w:bookmarkStart w:id="0" w:name="_GoBack"/>
      <w:bookmarkEnd w:id="0"/>
      <w:r>
        <w:rPr>
          <w:rFonts w:hint="eastAsia" w:ascii="仿宋_GB2312" w:hAnsi="微软雅黑" w:eastAsia="仿宋_GB2312" w:cs="仿宋_GB2312"/>
          <w:color w:val="444444"/>
          <w:kern w:val="0"/>
          <w:sz w:val="32"/>
          <w:szCs w:val="32"/>
          <w:lang w:val="en-US" w:eastAsia="zh-CN" w:bidi="ar"/>
        </w:rPr>
        <w:t>防控项目未达到500万，不做部门评价项目绩效评价。</w:t>
      </w:r>
    </w:p>
    <w:p>
      <w:pPr>
        <w:keepNext w:val="0"/>
        <w:keepLines w:val="0"/>
        <w:widowControl/>
        <w:suppressLineNumbers w:val="0"/>
        <w:spacing w:before="226" w:beforeAutospacing="0" w:after="0" w:afterAutospacing="0"/>
        <w:ind w:left="0" w:right="0"/>
        <w:jc w:val="center"/>
      </w:pPr>
      <w:r>
        <w:rPr>
          <w:rFonts w:hint="eastAsia" w:ascii="仿宋_GB2312" w:hAnsi="微软雅黑" w:eastAsia="仿宋_GB2312" w:cs="仿宋_GB2312"/>
          <w:b/>
          <w:color w:val="444444"/>
          <w:kern w:val="0"/>
          <w:sz w:val="32"/>
          <w:szCs w:val="32"/>
          <w:lang w:val="en-US" w:eastAsia="zh-CN" w:bidi="ar"/>
        </w:rPr>
        <w:t>第四部分名词解释</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一、财政拨款收入：指本级财政当年拨付的资金。</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二、事业收入：指事业单位开展专业业务活动及辅助活动取得的收入。</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三、经营收入：指事业单位在专业业务活动及其辅助活动之外开展非独立核算经营活动取得的收入。</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四、其他收入：指除上述“财政拨款收入”“事业收入”“经营收入”等以外的收入。</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五、年初结转和结余：指以前年度尚未完成、结转到本年按有关规定继续使用的资金。</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六、基本支出：指行政事业单位用于为保障其机构正常运转、完成日常工作任务而发生的人员支出和公用支出。</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七、工资福利支出：反映单位开支的在职职工和编制外长期聘用人员的各类劳动报酬，以及为上述人员缴纳的各项社会保险费等。</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八、对个人和家庭的补助支出：反映政府用于对个人和家庭的补助支出，包括离休费、退休费、退职（役）费、抚恤金、生活补助、救济费、医疗费补助、助学金、独生子女奖励金、其他等。</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十、项目支出：指各部门、各单位为完成其特定的工作任务和事业发展目标所发生的支出。</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widowControl/>
        <w:suppressLineNumbers w:val="0"/>
        <w:spacing w:before="226" w:beforeAutospacing="0" w:after="0" w:afterAutospacing="0"/>
        <w:ind w:left="0" w:right="0" w:firstLine="640"/>
        <w:jc w:val="left"/>
      </w:pPr>
      <w:r>
        <w:rPr>
          <w:rFonts w:hint="eastAsia" w:ascii="仿宋_GB2312" w:hAnsi="微软雅黑" w:eastAsia="仿宋_GB2312" w:cs="仿宋_GB2312"/>
          <w:color w:val="444444"/>
          <w:kern w:val="0"/>
          <w:sz w:val="32"/>
          <w:szCs w:val="32"/>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hint="eastAsia" w:ascii="宋体" w:hAnsi="宋体" w:eastAsia="宋体" w:cs="宋体"/>
          <w:i w:val="0"/>
          <w:caps w:val="0"/>
          <w:color w:val="000000" w:themeColor="text1"/>
          <w:spacing w:val="5"/>
          <w:sz w:val="32"/>
          <w:szCs w:val="32"/>
          <w:shd w:val="clear" w:fill="FFFFFF"/>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49E86"/>
    <w:multiLevelType w:val="singleLevel"/>
    <w:tmpl w:val="8B249E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wOTllNTQzNGEwYjNhOTYyNDEzZDk3ZWVhMDRiZTUifQ=="/>
  </w:docVars>
  <w:rsids>
    <w:rsidRoot w:val="00172A27"/>
    <w:rsid w:val="000041BA"/>
    <w:rsid w:val="00013204"/>
    <w:rsid w:val="0002115C"/>
    <w:rsid w:val="000344D8"/>
    <w:rsid w:val="00062B41"/>
    <w:rsid w:val="00070A2B"/>
    <w:rsid w:val="00086338"/>
    <w:rsid w:val="0009547A"/>
    <w:rsid w:val="000C6314"/>
    <w:rsid w:val="000D011E"/>
    <w:rsid w:val="000D141D"/>
    <w:rsid w:val="00114959"/>
    <w:rsid w:val="00143181"/>
    <w:rsid w:val="001478ED"/>
    <w:rsid w:val="0015076B"/>
    <w:rsid w:val="0015081C"/>
    <w:rsid w:val="001659C4"/>
    <w:rsid w:val="00174851"/>
    <w:rsid w:val="00176E87"/>
    <w:rsid w:val="001948F8"/>
    <w:rsid w:val="001C398F"/>
    <w:rsid w:val="001C7608"/>
    <w:rsid w:val="001C771D"/>
    <w:rsid w:val="001D415D"/>
    <w:rsid w:val="001E0392"/>
    <w:rsid w:val="001F52B3"/>
    <w:rsid w:val="001F6A40"/>
    <w:rsid w:val="001F6E67"/>
    <w:rsid w:val="00205241"/>
    <w:rsid w:val="00221803"/>
    <w:rsid w:val="002376B9"/>
    <w:rsid w:val="002625BF"/>
    <w:rsid w:val="00265455"/>
    <w:rsid w:val="002709E8"/>
    <w:rsid w:val="00271415"/>
    <w:rsid w:val="002724D2"/>
    <w:rsid w:val="0027758F"/>
    <w:rsid w:val="00280FBF"/>
    <w:rsid w:val="002863E1"/>
    <w:rsid w:val="002929C6"/>
    <w:rsid w:val="002A54DC"/>
    <w:rsid w:val="002A5F4E"/>
    <w:rsid w:val="002A7D42"/>
    <w:rsid w:val="002B5A8D"/>
    <w:rsid w:val="002C610B"/>
    <w:rsid w:val="002D4EAB"/>
    <w:rsid w:val="002D5B6B"/>
    <w:rsid w:val="002D6FB4"/>
    <w:rsid w:val="002E1493"/>
    <w:rsid w:val="002E1893"/>
    <w:rsid w:val="002F2C72"/>
    <w:rsid w:val="00300884"/>
    <w:rsid w:val="003032A3"/>
    <w:rsid w:val="0030520E"/>
    <w:rsid w:val="0032290B"/>
    <w:rsid w:val="00323FF1"/>
    <w:rsid w:val="00327DEF"/>
    <w:rsid w:val="00333C76"/>
    <w:rsid w:val="00340C9F"/>
    <w:rsid w:val="00350349"/>
    <w:rsid w:val="00354AD1"/>
    <w:rsid w:val="003559FE"/>
    <w:rsid w:val="0036033A"/>
    <w:rsid w:val="00361CD1"/>
    <w:rsid w:val="003672DF"/>
    <w:rsid w:val="00371A8A"/>
    <w:rsid w:val="00381EC4"/>
    <w:rsid w:val="00395915"/>
    <w:rsid w:val="003A5664"/>
    <w:rsid w:val="003B3BE4"/>
    <w:rsid w:val="003B5054"/>
    <w:rsid w:val="003D67D6"/>
    <w:rsid w:val="003D6D5C"/>
    <w:rsid w:val="003E04CF"/>
    <w:rsid w:val="003F78D4"/>
    <w:rsid w:val="004047F0"/>
    <w:rsid w:val="0040594E"/>
    <w:rsid w:val="00410995"/>
    <w:rsid w:val="0042421D"/>
    <w:rsid w:val="00426037"/>
    <w:rsid w:val="00431DE4"/>
    <w:rsid w:val="00445E87"/>
    <w:rsid w:val="00453416"/>
    <w:rsid w:val="004562B0"/>
    <w:rsid w:val="0046165E"/>
    <w:rsid w:val="00493ACA"/>
    <w:rsid w:val="00496183"/>
    <w:rsid w:val="004A083C"/>
    <w:rsid w:val="004A32B4"/>
    <w:rsid w:val="004A4F19"/>
    <w:rsid w:val="004B773D"/>
    <w:rsid w:val="004C0430"/>
    <w:rsid w:val="004C11C3"/>
    <w:rsid w:val="004C6DAA"/>
    <w:rsid w:val="004D0B7F"/>
    <w:rsid w:val="005065A4"/>
    <w:rsid w:val="005075E7"/>
    <w:rsid w:val="00512331"/>
    <w:rsid w:val="00516E01"/>
    <w:rsid w:val="00525566"/>
    <w:rsid w:val="0054759A"/>
    <w:rsid w:val="005528D1"/>
    <w:rsid w:val="00555600"/>
    <w:rsid w:val="00565523"/>
    <w:rsid w:val="00576296"/>
    <w:rsid w:val="00580E45"/>
    <w:rsid w:val="00583A39"/>
    <w:rsid w:val="005914BF"/>
    <w:rsid w:val="005973CB"/>
    <w:rsid w:val="005A5D3F"/>
    <w:rsid w:val="005B1A2C"/>
    <w:rsid w:val="005B752B"/>
    <w:rsid w:val="005C4C22"/>
    <w:rsid w:val="005D0E26"/>
    <w:rsid w:val="00601441"/>
    <w:rsid w:val="006107BF"/>
    <w:rsid w:val="006146B2"/>
    <w:rsid w:val="0061670E"/>
    <w:rsid w:val="006324BA"/>
    <w:rsid w:val="006659E5"/>
    <w:rsid w:val="00667D84"/>
    <w:rsid w:val="00671A9F"/>
    <w:rsid w:val="00687C9E"/>
    <w:rsid w:val="006975E4"/>
    <w:rsid w:val="006B1678"/>
    <w:rsid w:val="006B691C"/>
    <w:rsid w:val="006C64A4"/>
    <w:rsid w:val="006D7242"/>
    <w:rsid w:val="006F227A"/>
    <w:rsid w:val="00706598"/>
    <w:rsid w:val="00742318"/>
    <w:rsid w:val="0074601D"/>
    <w:rsid w:val="0075273E"/>
    <w:rsid w:val="00752C3F"/>
    <w:rsid w:val="007617E9"/>
    <w:rsid w:val="007639AE"/>
    <w:rsid w:val="00767109"/>
    <w:rsid w:val="0077337A"/>
    <w:rsid w:val="00773668"/>
    <w:rsid w:val="00774FE0"/>
    <w:rsid w:val="0078355E"/>
    <w:rsid w:val="00784A73"/>
    <w:rsid w:val="00784D85"/>
    <w:rsid w:val="00787EC5"/>
    <w:rsid w:val="00790628"/>
    <w:rsid w:val="00796632"/>
    <w:rsid w:val="00796DE4"/>
    <w:rsid w:val="007A38A9"/>
    <w:rsid w:val="007B65B9"/>
    <w:rsid w:val="007C7BFA"/>
    <w:rsid w:val="007D2050"/>
    <w:rsid w:val="007D6ACF"/>
    <w:rsid w:val="007E471F"/>
    <w:rsid w:val="007E76B9"/>
    <w:rsid w:val="007F21B5"/>
    <w:rsid w:val="00801700"/>
    <w:rsid w:val="00804B22"/>
    <w:rsid w:val="00806F19"/>
    <w:rsid w:val="00807C4A"/>
    <w:rsid w:val="0083154C"/>
    <w:rsid w:val="008474A1"/>
    <w:rsid w:val="00850094"/>
    <w:rsid w:val="0085743E"/>
    <w:rsid w:val="008705D9"/>
    <w:rsid w:val="008735F8"/>
    <w:rsid w:val="00874055"/>
    <w:rsid w:val="00875F20"/>
    <w:rsid w:val="00894360"/>
    <w:rsid w:val="00896B08"/>
    <w:rsid w:val="008A278F"/>
    <w:rsid w:val="008A49EE"/>
    <w:rsid w:val="008A7B8A"/>
    <w:rsid w:val="008B2FE9"/>
    <w:rsid w:val="008C4C30"/>
    <w:rsid w:val="008C5E88"/>
    <w:rsid w:val="008E28CF"/>
    <w:rsid w:val="008E3201"/>
    <w:rsid w:val="00900DFB"/>
    <w:rsid w:val="00905D38"/>
    <w:rsid w:val="00912995"/>
    <w:rsid w:val="00920763"/>
    <w:rsid w:val="00930B94"/>
    <w:rsid w:val="0093175E"/>
    <w:rsid w:val="009428BA"/>
    <w:rsid w:val="00955FBF"/>
    <w:rsid w:val="0096787E"/>
    <w:rsid w:val="009732C2"/>
    <w:rsid w:val="009801F8"/>
    <w:rsid w:val="00990CEA"/>
    <w:rsid w:val="00995FBC"/>
    <w:rsid w:val="009A26B6"/>
    <w:rsid w:val="009B3005"/>
    <w:rsid w:val="009B318B"/>
    <w:rsid w:val="009B720C"/>
    <w:rsid w:val="009F1589"/>
    <w:rsid w:val="009F7AE5"/>
    <w:rsid w:val="00A07E2F"/>
    <w:rsid w:val="00A12EC4"/>
    <w:rsid w:val="00A233C8"/>
    <w:rsid w:val="00A32812"/>
    <w:rsid w:val="00A34946"/>
    <w:rsid w:val="00A37508"/>
    <w:rsid w:val="00A37B80"/>
    <w:rsid w:val="00A42228"/>
    <w:rsid w:val="00A424D9"/>
    <w:rsid w:val="00A5231D"/>
    <w:rsid w:val="00A66ACC"/>
    <w:rsid w:val="00A713DE"/>
    <w:rsid w:val="00A97DEE"/>
    <w:rsid w:val="00AA0981"/>
    <w:rsid w:val="00AA1B8C"/>
    <w:rsid w:val="00AA380D"/>
    <w:rsid w:val="00AA5DF8"/>
    <w:rsid w:val="00AB29C3"/>
    <w:rsid w:val="00AC560F"/>
    <w:rsid w:val="00AD7900"/>
    <w:rsid w:val="00AE78E3"/>
    <w:rsid w:val="00AF3CED"/>
    <w:rsid w:val="00AF54CD"/>
    <w:rsid w:val="00AF5681"/>
    <w:rsid w:val="00AF785F"/>
    <w:rsid w:val="00B0638C"/>
    <w:rsid w:val="00B2776D"/>
    <w:rsid w:val="00B5378B"/>
    <w:rsid w:val="00B6027D"/>
    <w:rsid w:val="00B67C2D"/>
    <w:rsid w:val="00B94A30"/>
    <w:rsid w:val="00B95D16"/>
    <w:rsid w:val="00BE1026"/>
    <w:rsid w:val="00C1032D"/>
    <w:rsid w:val="00C12F60"/>
    <w:rsid w:val="00C14DC4"/>
    <w:rsid w:val="00C40A17"/>
    <w:rsid w:val="00C46CE6"/>
    <w:rsid w:val="00C57E69"/>
    <w:rsid w:val="00C949ED"/>
    <w:rsid w:val="00CA40F7"/>
    <w:rsid w:val="00CB615B"/>
    <w:rsid w:val="00CD5239"/>
    <w:rsid w:val="00CD591C"/>
    <w:rsid w:val="00CD7D4E"/>
    <w:rsid w:val="00CE743A"/>
    <w:rsid w:val="00CF7212"/>
    <w:rsid w:val="00D02043"/>
    <w:rsid w:val="00D103C4"/>
    <w:rsid w:val="00D107D5"/>
    <w:rsid w:val="00D22BA3"/>
    <w:rsid w:val="00D51AD6"/>
    <w:rsid w:val="00D6660C"/>
    <w:rsid w:val="00D808AD"/>
    <w:rsid w:val="00D81313"/>
    <w:rsid w:val="00D9156F"/>
    <w:rsid w:val="00DA0430"/>
    <w:rsid w:val="00DA0A35"/>
    <w:rsid w:val="00DA220C"/>
    <w:rsid w:val="00DA685D"/>
    <w:rsid w:val="00DA7497"/>
    <w:rsid w:val="00DB0EF5"/>
    <w:rsid w:val="00DB1491"/>
    <w:rsid w:val="00DB3182"/>
    <w:rsid w:val="00DB68F9"/>
    <w:rsid w:val="00DC7082"/>
    <w:rsid w:val="00DC7B5B"/>
    <w:rsid w:val="00E06EE0"/>
    <w:rsid w:val="00E2259D"/>
    <w:rsid w:val="00E274C5"/>
    <w:rsid w:val="00E31BB7"/>
    <w:rsid w:val="00E36D53"/>
    <w:rsid w:val="00E45F86"/>
    <w:rsid w:val="00E57728"/>
    <w:rsid w:val="00E73E1F"/>
    <w:rsid w:val="00EA7074"/>
    <w:rsid w:val="00EE680C"/>
    <w:rsid w:val="00EF267F"/>
    <w:rsid w:val="00F23DB6"/>
    <w:rsid w:val="00F27B3E"/>
    <w:rsid w:val="00F408F2"/>
    <w:rsid w:val="00F736A3"/>
    <w:rsid w:val="00F861E9"/>
    <w:rsid w:val="00F91F34"/>
    <w:rsid w:val="00F92A55"/>
    <w:rsid w:val="00FB2A8F"/>
    <w:rsid w:val="00FB3B29"/>
    <w:rsid w:val="00FC66AC"/>
    <w:rsid w:val="00FD1487"/>
    <w:rsid w:val="00FE0EE8"/>
    <w:rsid w:val="00FE437F"/>
    <w:rsid w:val="00FE4ED5"/>
    <w:rsid w:val="00FE59BF"/>
    <w:rsid w:val="00FE7C78"/>
    <w:rsid w:val="00FF3F30"/>
    <w:rsid w:val="00FF5D92"/>
    <w:rsid w:val="02647393"/>
    <w:rsid w:val="029A2459"/>
    <w:rsid w:val="02A07A13"/>
    <w:rsid w:val="04784741"/>
    <w:rsid w:val="04E02D9B"/>
    <w:rsid w:val="054A0A0B"/>
    <w:rsid w:val="06567274"/>
    <w:rsid w:val="06D42D46"/>
    <w:rsid w:val="06FB0C2C"/>
    <w:rsid w:val="07A07169"/>
    <w:rsid w:val="07D02796"/>
    <w:rsid w:val="0A0F0514"/>
    <w:rsid w:val="0DB478CA"/>
    <w:rsid w:val="0DCD0185"/>
    <w:rsid w:val="0E7E428F"/>
    <w:rsid w:val="0FE834A8"/>
    <w:rsid w:val="104C5D68"/>
    <w:rsid w:val="115112F9"/>
    <w:rsid w:val="11ED1E75"/>
    <w:rsid w:val="12BB6797"/>
    <w:rsid w:val="131D041E"/>
    <w:rsid w:val="133606FA"/>
    <w:rsid w:val="163141A4"/>
    <w:rsid w:val="174A7F09"/>
    <w:rsid w:val="1C690ED2"/>
    <w:rsid w:val="1CD95725"/>
    <w:rsid w:val="1E1C684C"/>
    <w:rsid w:val="1E7D100F"/>
    <w:rsid w:val="1E9C7012"/>
    <w:rsid w:val="1F872C3D"/>
    <w:rsid w:val="1FBE6C26"/>
    <w:rsid w:val="20060E6F"/>
    <w:rsid w:val="20B1361E"/>
    <w:rsid w:val="20E2544F"/>
    <w:rsid w:val="218237D9"/>
    <w:rsid w:val="218C19DF"/>
    <w:rsid w:val="218D2587"/>
    <w:rsid w:val="21EA2F62"/>
    <w:rsid w:val="229A458C"/>
    <w:rsid w:val="23254B5C"/>
    <w:rsid w:val="23733591"/>
    <w:rsid w:val="23781C49"/>
    <w:rsid w:val="24A67F61"/>
    <w:rsid w:val="28367ED9"/>
    <w:rsid w:val="29204958"/>
    <w:rsid w:val="29B770B8"/>
    <w:rsid w:val="2A4F79FB"/>
    <w:rsid w:val="2B243A14"/>
    <w:rsid w:val="2B870DC8"/>
    <w:rsid w:val="2BE965B7"/>
    <w:rsid w:val="2C545766"/>
    <w:rsid w:val="2DBD4BD6"/>
    <w:rsid w:val="2E0845A6"/>
    <w:rsid w:val="2E232B8D"/>
    <w:rsid w:val="2F2061AE"/>
    <w:rsid w:val="2F460406"/>
    <w:rsid w:val="3084507B"/>
    <w:rsid w:val="308C7D7A"/>
    <w:rsid w:val="30E66821"/>
    <w:rsid w:val="31604BB6"/>
    <w:rsid w:val="31CB65AD"/>
    <w:rsid w:val="334351D8"/>
    <w:rsid w:val="3444570A"/>
    <w:rsid w:val="34BC7680"/>
    <w:rsid w:val="358C00FB"/>
    <w:rsid w:val="35C132CA"/>
    <w:rsid w:val="38595BD0"/>
    <w:rsid w:val="39435E28"/>
    <w:rsid w:val="3BC97B60"/>
    <w:rsid w:val="3BF97A6B"/>
    <w:rsid w:val="3C1430F7"/>
    <w:rsid w:val="3C757346"/>
    <w:rsid w:val="3D3E75C6"/>
    <w:rsid w:val="3DCE45D3"/>
    <w:rsid w:val="3E570209"/>
    <w:rsid w:val="4025499A"/>
    <w:rsid w:val="407D37E0"/>
    <w:rsid w:val="427848C0"/>
    <w:rsid w:val="429F2D7B"/>
    <w:rsid w:val="438C18DC"/>
    <w:rsid w:val="447C1D6D"/>
    <w:rsid w:val="447F4476"/>
    <w:rsid w:val="44D62807"/>
    <w:rsid w:val="450C4932"/>
    <w:rsid w:val="45696FF8"/>
    <w:rsid w:val="45F84D82"/>
    <w:rsid w:val="46D9635D"/>
    <w:rsid w:val="48B8476F"/>
    <w:rsid w:val="48F738C5"/>
    <w:rsid w:val="49306F7C"/>
    <w:rsid w:val="4B803533"/>
    <w:rsid w:val="4BEA3E39"/>
    <w:rsid w:val="4C5B21DD"/>
    <w:rsid w:val="4DC248B5"/>
    <w:rsid w:val="4E756137"/>
    <w:rsid w:val="4EFB7A4C"/>
    <w:rsid w:val="4F105D07"/>
    <w:rsid w:val="52052159"/>
    <w:rsid w:val="535D7F1F"/>
    <w:rsid w:val="541604E7"/>
    <w:rsid w:val="55080772"/>
    <w:rsid w:val="558F13AF"/>
    <w:rsid w:val="5658643B"/>
    <w:rsid w:val="5665442D"/>
    <w:rsid w:val="578B322B"/>
    <w:rsid w:val="590E2D92"/>
    <w:rsid w:val="597E6909"/>
    <w:rsid w:val="5AC262BF"/>
    <w:rsid w:val="5ADA5B6B"/>
    <w:rsid w:val="5C7877E0"/>
    <w:rsid w:val="5CF71E68"/>
    <w:rsid w:val="5EE211FD"/>
    <w:rsid w:val="5FE87548"/>
    <w:rsid w:val="615E375A"/>
    <w:rsid w:val="618807C1"/>
    <w:rsid w:val="62FA19D3"/>
    <w:rsid w:val="65067A82"/>
    <w:rsid w:val="65462547"/>
    <w:rsid w:val="6556350F"/>
    <w:rsid w:val="664C0449"/>
    <w:rsid w:val="675A5524"/>
    <w:rsid w:val="684B5BE1"/>
    <w:rsid w:val="699B2088"/>
    <w:rsid w:val="6A1B1ED7"/>
    <w:rsid w:val="6A4D1B89"/>
    <w:rsid w:val="6BC81140"/>
    <w:rsid w:val="6C3C583D"/>
    <w:rsid w:val="6CDB7F83"/>
    <w:rsid w:val="6D7A3E0B"/>
    <w:rsid w:val="6F820BF0"/>
    <w:rsid w:val="70BC7682"/>
    <w:rsid w:val="71A11E92"/>
    <w:rsid w:val="72C15190"/>
    <w:rsid w:val="738479E8"/>
    <w:rsid w:val="73D904E3"/>
    <w:rsid w:val="74255D3F"/>
    <w:rsid w:val="7444352B"/>
    <w:rsid w:val="74B13EA8"/>
    <w:rsid w:val="75344510"/>
    <w:rsid w:val="7564279D"/>
    <w:rsid w:val="7B447175"/>
    <w:rsid w:val="7C073B86"/>
    <w:rsid w:val="7D4D76C3"/>
    <w:rsid w:val="7EBE22E6"/>
    <w:rsid w:val="7FFD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FollowedHyperlink"/>
    <w:basedOn w:val="10"/>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标题 1 字符"/>
    <w:basedOn w:val="10"/>
    <w:link w:val="2"/>
    <w:qFormat/>
    <w:uiPriority w:val="9"/>
    <w:rPr>
      <w:b/>
      <w:bCs/>
      <w:kern w:val="44"/>
      <w:sz w:val="44"/>
      <w:szCs w:val="44"/>
    </w:rPr>
  </w:style>
  <w:style w:type="paragraph" w:customStyle="1" w:styleId="15">
    <w:name w:val="List Paragraph"/>
    <w:basedOn w:val="1"/>
    <w:qFormat/>
    <w:uiPriority w:val="34"/>
    <w:pPr>
      <w:ind w:firstLine="420" w:firstLineChars="200"/>
    </w:pPr>
  </w:style>
  <w:style w:type="character" w:customStyle="1" w:styleId="16">
    <w:name w:val="未处理的提及1"/>
    <w:basedOn w:val="10"/>
    <w:unhideWhenUsed/>
    <w:qFormat/>
    <w:uiPriority w:val="99"/>
    <w:rPr>
      <w:color w:val="808080"/>
      <w:shd w:val="clear" w:color="auto" w:fill="E6E6E6"/>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框文本 字符"/>
    <w:basedOn w:val="10"/>
    <w:link w:val="4"/>
    <w:semiHidden/>
    <w:qFormat/>
    <w:uiPriority w:val="99"/>
    <w:rPr>
      <w:sz w:val="18"/>
      <w:szCs w:val="18"/>
    </w:rPr>
  </w:style>
  <w:style w:type="character" w:customStyle="1" w:styleId="20">
    <w:name w:val="未处理的提及2"/>
    <w:basedOn w:val="10"/>
    <w:unhideWhenUsed/>
    <w:qFormat/>
    <w:uiPriority w:val="99"/>
    <w:rPr>
      <w:color w:val="605E5C"/>
      <w:shd w:val="clear" w:color="auto" w:fill="E1DFDD"/>
    </w:rPr>
  </w:style>
  <w:style w:type="character" w:customStyle="1" w:styleId="21">
    <w:name w:val="标题 2 字符"/>
    <w:basedOn w:val="10"/>
    <w:link w:val="3"/>
    <w:qFormat/>
    <w:uiPriority w:val="9"/>
    <w:rPr>
      <w:rFonts w:asciiTheme="majorHAnsi" w:hAnsiTheme="majorHAnsi" w:eastAsiaTheme="majorEastAsia" w:cstheme="majorBidi"/>
      <w:b/>
      <w:bCs/>
      <w:kern w:val="2"/>
      <w:sz w:val="32"/>
      <w:szCs w:val="32"/>
    </w:rPr>
  </w:style>
  <w:style w:type="table" w:customStyle="1" w:styleId="22">
    <w:name w:val="网格型1"/>
    <w:basedOn w:val="8"/>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Unresolved Mention"/>
    <w:basedOn w:val="10"/>
    <w:unhideWhenUsed/>
    <w:qFormat/>
    <w:uiPriority w:val="99"/>
    <w:rPr>
      <w:color w:val="605E5C"/>
      <w:shd w:val="clear" w:color="auto" w:fill="E1DFDD"/>
    </w:rPr>
  </w:style>
  <w:style w:type="character" w:customStyle="1" w:styleId="24">
    <w:name w:val="grfwico10"/>
    <w:basedOn w:val="10"/>
    <w:qFormat/>
    <w:uiPriority w:val="0"/>
  </w:style>
  <w:style w:type="character" w:customStyle="1" w:styleId="25">
    <w:name w:val="grfwico18"/>
    <w:basedOn w:val="10"/>
    <w:qFormat/>
    <w:uiPriority w:val="0"/>
  </w:style>
  <w:style w:type="character" w:customStyle="1" w:styleId="26">
    <w:name w:val="bsfwico16"/>
    <w:basedOn w:val="10"/>
    <w:qFormat/>
    <w:uiPriority w:val="0"/>
  </w:style>
  <w:style w:type="character" w:customStyle="1" w:styleId="27">
    <w:name w:val="grfwico6"/>
    <w:basedOn w:val="10"/>
    <w:qFormat/>
    <w:uiPriority w:val="0"/>
  </w:style>
  <w:style w:type="character" w:customStyle="1" w:styleId="28">
    <w:name w:val="grfwico1"/>
    <w:basedOn w:val="10"/>
    <w:qFormat/>
    <w:uiPriority w:val="0"/>
  </w:style>
  <w:style w:type="character" w:customStyle="1" w:styleId="29">
    <w:name w:val="bsfwico2"/>
    <w:basedOn w:val="10"/>
    <w:qFormat/>
    <w:uiPriority w:val="0"/>
  </w:style>
  <w:style w:type="character" w:customStyle="1" w:styleId="30">
    <w:name w:val="grfwico9"/>
    <w:basedOn w:val="10"/>
    <w:qFormat/>
    <w:uiPriority w:val="0"/>
  </w:style>
  <w:style w:type="character" w:customStyle="1" w:styleId="31">
    <w:name w:val="hover31"/>
    <w:basedOn w:val="10"/>
    <w:qFormat/>
    <w:uiPriority w:val="0"/>
    <w:rPr>
      <w:shd w:val="clear" w:fill="1E4B8F"/>
    </w:rPr>
  </w:style>
  <w:style w:type="character" w:customStyle="1" w:styleId="32">
    <w:name w:val="grfwico0"/>
    <w:basedOn w:val="10"/>
    <w:qFormat/>
    <w:uiPriority w:val="0"/>
  </w:style>
  <w:style w:type="character" w:customStyle="1" w:styleId="33">
    <w:name w:val="bsfwico13"/>
    <w:basedOn w:val="10"/>
    <w:qFormat/>
    <w:uiPriority w:val="0"/>
  </w:style>
  <w:style w:type="character" w:customStyle="1" w:styleId="34">
    <w:name w:val="bsfwico7"/>
    <w:basedOn w:val="10"/>
    <w:qFormat/>
    <w:uiPriority w:val="0"/>
  </w:style>
  <w:style w:type="character" w:customStyle="1" w:styleId="35">
    <w:name w:val="grfwico7"/>
    <w:basedOn w:val="10"/>
    <w:qFormat/>
    <w:uiPriority w:val="0"/>
  </w:style>
  <w:style w:type="character" w:customStyle="1" w:styleId="36">
    <w:name w:val="grfwico4"/>
    <w:basedOn w:val="10"/>
    <w:qFormat/>
    <w:uiPriority w:val="0"/>
  </w:style>
  <w:style w:type="character" w:customStyle="1" w:styleId="37">
    <w:name w:val="grfwico17"/>
    <w:basedOn w:val="10"/>
    <w:qFormat/>
    <w:uiPriority w:val="0"/>
  </w:style>
  <w:style w:type="character" w:customStyle="1" w:styleId="38">
    <w:name w:val="grfwico2"/>
    <w:basedOn w:val="10"/>
    <w:qFormat/>
    <w:uiPriority w:val="0"/>
  </w:style>
  <w:style w:type="character" w:customStyle="1" w:styleId="39">
    <w:name w:val="grfwico16"/>
    <w:basedOn w:val="10"/>
    <w:qFormat/>
    <w:uiPriority w:val="0"/>
  </w:style>
  <w:style w:type="character" w:customStyle="1" w:styleId="40">
    <w:name w:val="grfwico5"/>
    <w:basedOn w:val="10"/>
    <w:qFormat/>
    <w:uiPriority w:val="0"/>
  </w:style>
  <w:style w:type="character" w:customStyle="1" w:styleId="41">
    <w:name w:val="grfwico3"/>
    <w:basedOn w:val="10"/>
    <w:qFormat/>
    <w:uiPriority w:val="0"/>
  </w:style>
  <w:style w:type="character" w:customStyle="1" w:styleId="42">
    <w:name w:val="bsfwico12"/>
    <w:basedOn w:val="10"/>
    <w:qFormat/>
    <w:uiPriority w:val="0"/>
  </w:style>
  <w:style w:type="character" w:customStyle="1" w:styleId="43">
    <w:name w:val="bsfwico11"/>
    <w:basedOn w:val="10"/>
    <w:qFormat/>
    <w:uiPriority w:val="0"/>
  </w:style>
  <w:style w:type="character" w:customStyle="1" w:styleId="44">
    <w:name w:val="bsfwico10"/>
    <w:basedOn w:val="10"/>
    <w:qFormat/>
    <w:uiPriority w:val="0"/>
  </w:style>
  <w:style w:type="character" w:customStyle="1" w:styleId="45">
    <w:name w:val="grfwico8"/>
    <w:basedOn w:val="10"/>
    <w:qFormat/>
    <w:uiPriority w:val="0"/>
  </w:style>
  <w:style w:type="character" w:customStyle="1" w:styleId="46">
    <w:name w:val="grfwico11"/>
    <w:basedOn w:val="10"/>
    <w:qFormat/>
    <w:uiPriority w:val="0"/>
  </w:style>
  <w:style w:type="character" w:customStyle="1" w:styleId="47">
    <w:name w:val="grfwico12"/>
    <w:basedOn w:val="10"/>
    <w:qFormat/>
    <w:uiPriority w:val="0"/>
  </w:style>
  <w:style w:type="character" w:customStyle="1" w:styleId="48">
    <w:name w:val="grfwico13"/>
    <w:basedOn w:val="10"/>
    <w:qFormat/>
    <w:uiPriority w:val="0"/>
  </w:style>
  <w:style w:type="character" w:customStyle="1" w:styleId="49">
    <w:name w:val="grfwico14"/>
    <w:basedOn w:val="10"/>
    <w:qFormat/>
    <w:uiPriority w:val="0"/>
  </w:style>
  <w:style w:type="character" w:customStyle="1" w:styleId="50">
    <w:name w:val="grfwico15"/>
    <w:basedOn w:val="10"/>
    <w:qFormat/>
    <w:uiPriority w:val="0"/>
  </w:style>
  <w:style w:type="character" w:customStyle="1" w:styleId="51">
    <w:name w:val="bsfwico0"/>
    <w:basedOn w:val="10"/>
    <w:qFormat/>
    <w:uiPriority w:val="0"/>
  </w:style>
  <w:style w:type="character" w:customStyle="1" w:styleId="52">
    <w:name w:val="bsfwico1"/>
    <w:basedOn w:val="10"/>
    <w:qFormat/>
    <w:uiPriority w:val="0"/>
  </w:style>
  <w:style w:type="character" w:customStyle="1" w:styleId="53">
    <w:name w:val="bsfwico3"/>
    <w:basedOn w:val="10"/>
    <w:qFormat/>
    <w:uiPriority w:val="0"/>
  </w:style>
  <w:style w:type="character" w:customStyle="1" w:styleId="54">
    <w:name w:val="bsfwico4"/>
    <w:basedOn w:val="10"/>
    <w:qFormat/>
    <w:uiPriority w:val="0"/>
  </w:style>
  <w:style w:type="character" w:customStyle="1" w:styleId="55">
    <w:name w:val="bsfwico5"/>
    <w:basedOn w:val="10"/>
    <w:qFormat/>
    <w:uiPriority w:val="0"/>
  </w:style>
  <w:style w:type="character" w:customStyle="1" w:styleId="56">
    <w:name w:val="bsfwico6"/>
    <w:basedOn w:val="10"/>
    <w:qFormat/>
    <w:uiPriority w:val="0"/>
  </w:style>
  <w:style w:type="character" w:customStyle="1" w:styleId="57">
    <w:name w:val="bsfwico8"/>
    <w:basedOn w:val="10"/>
    <w:qFormat/>
    <w:uiPriority w:val="0"/>
  </w:style>
  <w:style w:type="character" w:customStyle="1" w:styleId="58">
    <w:name w:val="bsfwico9"/>
    <w:basedOn w:val="10"/>
    <w:qFormat/>
    <w:uiPriority w:val="0"/>
  </w:style>
  <w:style w:type="character" w:customStyle="1" w:styleId="59">
    <w:name w:val="bsfwico14"/>
    <w:basedOn w:val="10"/>
    <w:qFormat/>
    <w:uiPriority w:val="0"/>
  </w:style>
  <w:style w:type="character" w:customStyle="1" w:styleId="60">
    <w:name w:val="bsfwico15"/>
    <w:basedOn w:val="10"/>
    <w:qFormat/>
    <w:uiPriority w:val="0"/>
  </w:style>
  <w:style w:type="character" w:customStyle="1" w:styleId="61">
    <w:name w:val="hdata"/>
    <w:basedOn w:val="10"/>
    <w:qFormat/>
    <w:uiPriority w:val="0"/>
    <w:rPr>
      <w:color w:val="BEBEB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1435-2622-4D4F-805F-AA19700EC84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4778</Words>
  <Characters>5164</Characters>
  <Lines>5</Lines>
  <Paragraphs>1</Paragraphs>
  <TotalTime>4</TotalTime>
  <ScaleCrop>false</ScaleCrop>
  <LinksUpToDate>false</LinksUpToDate>
  <CharactersWithSpaces>5184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2019-11-09T07:49:00Z</dcterms:created>
  <dc:creator>李旭</dc:creator>
  <cp:lastModifiedBy>王娇虹</cp:lastModifiedBy>
  <dcterms:modified xsi:type="dcterms:W3CDTF">2023-07-24T08:36:42Z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F50E226784D64036A64F30DD3AFCF74E_12</vt:lpwstr>
  </property>
</Properties>
</file>